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047A" w14:textId="77777777" w:rsidR="00ED340C" w:rsidRPr="00ED340C" w:rsidRDefault="00ED340C" w:rsidP="00ED340C">
      <w:pPr>
        <w:spacing w:after="0" w:line="240" w:lineRule="auto"/>
        <w:rPr>
          <w:sz w:val="2"/>
          <w:szCs w:val="2"/>
        </w:rPr>
      </w:pPr>
    </w:p>
    <w:tbl>
      <w:tblPr>
        <w:tblW w:w="15725" w:type="dxa"/>
        <w:tblBorders>
          <w:top w:val="single" w:sz="4" w:space="0" w:color="578B12" w:themeColor="accent4" w:themeShade="BF"/>
          <w:left w:val="single" w:sz="4" w:space="0" w:color="578B12" w:themeColor="accent4" w:themeShade="BF"/>
          <w:bottom w:val="single" w:sz="4" w:space="0" w:color="578B12" w:themeColor="accent4" w:themeShade="BF"/>
          <w:right w:val="single" w:sz="4" w:space="0" w:color="578B12" w:themeColor="accent4" w:themeShade="BF"/>
          <w:insideH w:val="single" w:sz="4" w:space="0" w:color="578B12" w:themeColor="accent4" w:themeShade="BF"/>
          <w:insideV w:val="single" w:sz="4" w:space="0" w:color="578B12" w:themeColor="accent4" w:themeShade="BF"/>
        </w:tblBorders>
        <w:tblCellMar>
          <w:left w:w="0" w:type="dxa"/>
          <w:right w:w="0" w:type="dxa"/>
        </w:tblCellMar>
        <w:tblLook w:val="0600" w:firstRow="0" w:lastRow="0" w:firstColumn="0" w:lastColumn="0" w:noHBand="1" w:noVBand="1"/>
      </w:tblPr>
      <w:tblGrid>
        <w:gridCol w:w="1266"/>
        <w:gridCol w:w="4540"/>
        <w:gridCol w:w="1697"/>
        <w:gridCol w:w="1559"/>
        <w:gridCol w:w="1420"/>
        <w:gridCol w:w="567"/>
        <w:gridCol w:w="563"/>
        <w:gridCol w:w="1421"/>
        <w:gridCol w:w="709"/>
        <w:gridCol w:w="992"/>
        <w:gridCol w:w="991"/>
      </w:tblGrid>
      <w:tr w:rsidR="00812A7A" w:rsidRPr="00E467BF" w14:paraId="6B2B9B09" w14:textId="77777777" w:rsidTr="00224825">
        <w:trPr>
          <w:trHeight w:val="170"/>
        </w:trPr>
        <w:tc>
          <w:tcPr>
            <w:tcW w:w="1266"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00428B" w:themeFill="text2"/>
            <w:tcMar>
              <w:top w:w="72" w:type="dxa"/>
              <w:left w:w="133" w:type="dxa"/>
              <w:bottom w:w="72" w:type="dxa"/>
              <w:right w:w="133" w:type="dxa"/>
            </w:tcMar>
            <w:vAlign w:val="center"/>
          </w:tcPr>
          <w:p w14:paraId="2124BFD2" w14:textId="77777777" w:rsidR="00812A7A" w:rsidRPr="00E467BF" w:rsidRDefault="00812A7A" w:rsidP="00812A7A">
            <w:pPr>
              <w:spacing w:after="0" w:line="240" w:lineRule="auto"/>
              <w:rPr>
                <w:rFonts w:ascii="Calibri" w:hAnsi="Calibri" w:cs="Calibri"/>
                <w:b/>
                <w:bCs/>
                <w:sz w:val="19"/>
                <w:szCs w:val="19"/>
              </w:rPr>
            </w:pPr>
            <w:r w:rsidRPr="00E467BF">
              <w:rPr>
                <w:rFonts w:ascii="Calibri" w:hAnsi="Calibri" w:cs="Calibri"/>
                <w:b/>
                <w:bCs/>
                <w:sz w:val="19"/>
                <w:szCs w:val="19"/>
              </w:rPr>
              <w:t>Position</w:t>
            </w:r>
          </w:p>
        </w:tc>
        <w:tc>
          <w:tcPr>
            <w:tcW w:w="6237" w:type="dxa"/>
            <w:gridSpan w:val="2"/>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19DFACBD" w14:textId="77777777" w:rsidR="00812A7A" w:rsidRPr="00E467BF" w:rsidRDefault="00812A7A" w:rsidP="00812A7A">
            <w:pPr>
              <w:spacing w:after="0" w:line="240" w:lineRule="auto"/>
              <w:ind w:left="143"/>
              <w:rPr>
                <w:rFonts w:ascii="Calibri" w:hAnsi="Calibri" w:cs="Calibri"/>
                <w:b/>
                <w:bCs/>
                <w:sz w:val="19"/>
                <w:szCs w:val="19"/>
              </w:rPr>
            </w:pPr>
            <w:r>
              <w:rPr>
                <w:rFonts w:ascii="Calibri" w:hAnsi="Calibri" w:cs="Calibri"/>
                <w:b/>
                <w:bCs/>
                <w:sz w:val="19"/>
                <w:szCs w:val="19"/>
              </w:rPr>
              <w:t xml:space="preserve">Sourcing Manager </w:t>
            </w:r>
          </w:p>
        </w:tc>
        <w:tc>
          <w:tcPr>
            <w:tcW w:w="1559"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34F29325" w14:textId="77777777" w:rsidR="00812A7A" w:rsidRPr="00E467BF" w:rsidRDefault="00812A7A" w:rsidP="00812A7A">
            <w:pPr>
              <w:spacing w:after="0" w:line="240" w:lineRule="auto"/>
              <w:ind w:left="141"/>
              <w:rPr>
                <w:rFonts w:ascii="Calibri" w:hAnsi="Calibri" w:cs="Calibri"/>
                <w:b/>
                <w:bCs/>
                <w:sz w:val="19"/>
                <w:szCs w:val="19"/>
              </w:rPr>
            </w:pPr>
            <w:r w:rsidRPr="00E467BF">
              <w:rPr>
                <w:rFonts w:ascii="Calibri" w:hAnsi="Calibri" w:cs="Calibri"/>
                <w:b/>
                <w:bCs/>
                <w:sz w:val="19"/>
                <w:szCs w:val="19"/>
              </w:rPr>
              <w:t>Reports to</w:t>
            </w:r>
          </w:p>
        </w:tc>
        <w:tc>
          <w:tcPr>
            <w:tcW w:w="4680" w:type="dxa"/>
            <w:gridSpan w:val="5"/>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5903CD07" w14:textId="77777777" w:rsidR="00812A7A" w:rsidRPr="00E467BF" w:rsidRDefault="00812A7A" w:rsidP="00812A7A">
            <w:pPr>
              <w:spacing w:after="0" w:line="240" w:lineRule="auto"/>
              <w:ind w:left="141"/>
              <w:rPr>
                <w:rFonts w:ascii="Calibri" w:hAnsi="Calibri" w:cs="Calibri"/>
                <w:b/>
                <w:bCs/>
                <w:sz w:val="19"/>
                <w:szCs w:val="19"/>
              </w:rPr>
            </w:pPr>
            <w:r>
              <w:rPr>
                <w:rFonts w:ascii="Calibri" w:hAnsi="Calibri" w:cs="Calibri"/>
                <w:b/>
                <w:bCs/>
                <w:sz w:val="19"/>
                <w:szCs w:val="19"/>
              </w:rPr>
              <w:t>Procurement Manager – Sourcing Delivery</w:t>
            </w:r>
          </w:p>
        </w:tc>
        <w:tc>
          <w:tcPr>
            <w:tcW w:w="992"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01DD768A" w14:textId="77777777" w:rsidR="00812A7A" w:rsidRPr="00E467BF" w:rsidRDefault="00812A7A" w:rsidP="00812A7A">
            <w:pPr>
              <w:spacing w:after="0" w:line="240" w:lineRule="auto"/>
              <w:ind w:left="146"/>
              <w:rPr>
                <w:rFonts w:ascii="Calibri" w:hAnsi="Calibri" w:cs="Calibri"/>
                <w:b/>
                <w:bCs/>
                <w:sz w:val="19"/>
                <w:szCs w:val="19"/>
              </w:rPr>
            </w:pPr>
            <w:r w:rsidRPr="00E467BF">
              <w:rPr>
                <w:rFonts w:ascii="Calibri" w:hAnsi="Calibri" w:cs="Calibri"/>
                <w:b/>
                <w:bCs/>
                <w:sz w:val="19"/>
                <w:szCs w:val="19"/>
              </w:rPr>
              <w:t>Group</w:t>
            </w:r>
          </w:p>
        </w:tc>
        <w:tc>
          <w:tcPr>
            <w:tcW w:w="991"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28193C50" w14:textId="77777777" w:rsidR="00812A7A" w:rsidRPr="00E467BF" w:rsidRDefault="00812A7A" w:rsidP="00812A7A">
            <w:pPr>
              <w:spacing w:after="0" w:line="240" w:lineRule="auto"/>
              <w:ind w:left="139"/>
              <w:rPr>
                <w:rFonts w:ascii="Calibri" w:hAnsi="Calibri" w:cs="Calibri"/>
                <w:b/>
                <w:bCs/>
                <w:sz w:val="19"/>
                <w:szCs w:val="19"/>
              </w:rPr>
            </w:pPr>
            <w:r>
              <w:rPr>
                <w:rFonts w:ascii="Calibri" w:hAnsi="Calibri" w:cs="Calibri"/>
                <w:b/>
                <w:bCs/>
                <w:sz w:val="19"/>
                <w:szCs w:val="19"/>
              </w:rPr>
              <w:t>3</w:t>
            </w:r>
          </w:p>
        </w:tc>
      </w:tr>
      <w:tr w:rsidR="00812A7A" w:rsidRPr="00E467BF" w14:paraId="220F4D7E" w14:textId="77777777" w:rsidTr="00224825">
        <w:trPr>
          <w:trHeight w:val="170"/>
        </w:trPr>
        <w:tc>
          <w:tcPr>
            <w:tcW w:w="1266"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tcMar>
              <w:top w:w="72" w:type="dxa"/>
              <w:left w:w="133" w:type="dxa"/>
              <w:bottom w:w="72" w:type="dxa"/>
              <w:right w:w="133" w:type="dxa"/>
            </w:tcMar>
            <w:vAlign w:val="center"/>
          </w:tcPr>
          <w:p w14:paraId="02E78E2D" w14:textId="77777777" w:rsidR="00812A7A" w:rsidRPr="00E467BF" w:rsidRDefault="00812A7A" w:rsidP="00812A7A">
            <w:pPr>
              <w:spacing w:after="0" w:line="240" w:lineRule="auto"/>
              <w:rPr>
                <w:rFonts w:ascii="Calibri" w:hAnsi="Calibri" w:cs="Calibri"/>
                <w:b/>
                <w:bCs/>
                <w:sz w:val="19"/>
                <w:szCs w:val="19"/>
              </w:rPr>
            </w:pPr>
            <w:r w:rsidRPr="00E467BF">
              <w:rPr>
                <w:rFonts w:ascii="Calibri" w:hAnsi="Calibri" w:cs="Calibri"/>
                <w:b/>
                <w:bCs/>
                <w:sz w:val="19"/>
                <w:szCs w:val="19"/>
              </w:rPr>
              <w:t>Division</w:t>
            </w:r>
          </w:p>
        </w:tc>
        <w:tc>
          <w:tcPr>
            <w:tcW w:w="6237" w:type="dxa"/>
            <w:gridSpan w:val="2"/>
            <w:tcBorders>
              <w:top w:val="single" w:sz="6" w:space="0" w:color="00428B" w:themeColor="accent1"/>
              <w:left w:val="single" w:sz="6" w:space="0" w:color="00428B" w:themeColor="accent1"/>
              <w:bottom w:val="single" w:sz="4" w:space="0" w:color="00428B" w:themeColor="accent1"/>
              <w:right w:val="single" w:sz="4" w:space="0" w:color="00428B" w:themeColor="accent1"/>
            </w:tcBorders>
            <w:vAlign w:val="center"/>
          </w:tcPr>
          <w:p w14:paraId="08460907" w14:textId="77777777" w:rsidR="00812A7A" w:rsidRPr="00E467BF" w:rsidRDefault="00812A7A" w:rsidP="00812A7A">
            <w:pPr>
              <w:spacing w:after="0" w:line="240" w:lineRule="auto"/>
              <w:ind w:left="143"/>
              <w:rPr>
                <w:rFonts w:ascii="Calibri" w:hAnsi="Calibri" w:cs="Calibri"/>
                <w:b/>
                <w:bCs/>
                <w:sz w:val="19"/>
                <w:szCs w:val="19"/>
              </w:rPr>
            </w:pPr>
            <w:r>
              <w:rPr>
                <w:rFonts w:ascii="Calibri" w:hAnsi="Calibri" w:cs="Calibri"/>
                <w:b/>
                <w:bCs/>
                <w:sz w:val="19"/>
                <w:szCs w:val="19"/>
              </w:rPr>
              <w:t>Corporate Services</w:t>
            </w:r>
          </w:p>
        </w:tc>
        <w:tc>
          <w:tcPr>
            <w:tcW w:w="1559" w:type="dxa"/>
            <w:tcBorders>
              <w:top w:val="single" w:sz="6" w:space="0" w:color="00428B" w:themeColor="accent1"/>
              <w:left w:val="single" w:sz="4"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01D4F943" w14:textId="77777777" w:rsidR="00812A7A" w:rsidRPr="00E467BF" w:rsidRDefault="00812A7A" w:rsidP="00812A7A">
            <w:pPr>
              <w:spacing w:after="0" w:line="240" w:lineRule="auto"/>
              <w:ind w:left="141"/>
              <w:rPr>
                <w:rFonts w:ascii="Calibri" w:hAnsi="Calibri" w:cs="Calibri"/>
                <w:b/>
                <w:bCs/>
                <w:sz w:val="19"/>
                <w:szCs w:val="19"/>
              </w:rPr>
            </w:pPr>
            <w:r w:rsidRPr="00E467BF">
              <w:rPr>
                <w:rFonts w:ascii="Calibri" w:hAnsi="Calibri" w:cs="Calibri"/>
                <w:b/>
                <w:bCs/>
                <w:sz w:val="19"/>
                <w:szCs w:val="19"/>
              </w:rPr>
              <w:t>Span of Control</w:t>
            </w:r>
          </w:p>
        </w:tc>
        <w:tc>
          <w:tcPr>
            <w:tcW w:w="1420" w:type="dxa"/>
            <w:tcBorders>
              <w:top w:val="single" w:sz="6" w:space="0" w:color="00428B" w:themeColor="accent1"/>
              <w:left w:val="single" w:sz="6" w:space="0" w:color="00428B" w:themeColor="accent1"/>
              <w:bottom w:val="single" w:sz="4" w:space="0" w:color="00428B" w:themeColor="accent1"/>
              <w:right w:val="nil"/>
            </w:tcBorders>
            <w:shd w:val="clear" w:color="auto" w:fill="C8DCF1" w:themeFill="background2" w:themeFillShade="E6"/>
            <w:vAlign w:val="center"/>
          </w:tcPr>
          <w:p w14:paraId="626B2DC9" w14:textId="77777777" w:rsidR="00812A7A" w:rsidRPr="00E467BF" w:rsidRDefault="00812A7A" w:rsidP="00812A7A">
            <w:pPr>
              <w:spacing w:after="0" w:line="240" w:lineRule="auto"/>
              <w:ind w:left="141"/>
              <w:rPr>
                <w:rFonts w:ascii="Calibri" w:hAnsi="Calibri" w:cs="Calibri"/>
                <w:bCs/>
                <w:sz w:val="19"/>
                <w:szCs w:val="19"/>
              </w:rPr>
            </w:pPr>
            <w:r w:rsidRPr="00E467BF">
              <w:rPr>
                <w:rFonts w:ascii="Calibri" w:hAnsi="Calibri" w:cs="Calibri"/>
                <w:bCs/>
                <w:sz w:val="19"/>
                <w:szCs w:val="19"/>
              </w:rPr>
              <w:t>Direct Reports:</w:t>
            </w:r>
          </w:p>
        </w:tc>
        <w:tc>
          <w:tcPr>
            <w:tcW w:w="567" w:type="dxa"/>
            <w:tcBorders>
              <w:top w:val="single" w:sz="6" w:space="0" w:color="00428B" w:themeColor="accent1"/>
              <w:left w:val="nil"/>
              <w:bottom w:val="single" w:sz="4" w:space="0" w:color="00428B" w:themeColor="accent1"/>
              <w:right w:val="single" w:sz="6" w:space="0" w:color="00428B" w:themeColor="accent1"/>
            </w:tcBorders>
            <w:vAlign w:val="center"/>
          </w:tcPr>
          <w:p w14:paraId="44C85A48" w14:textId="77777777" w:rsidR="00812A7A" w:rsidRPr="00E467BF" w:rsidRDefault="00812A7A" w:rsidP="00812A7A">
            <w:pPr>
              <w:spacing w:after="0" w:line="240" w:lineRule="auto"/>
              <w:ind w:left="141"/>
              <w:rPr>
                <w:rFonts w:ascii="Calibri" w:hAnsi="Calibri" w:cs="Calibri"/>
                <w:bCs/>
                <w:sz w:val="19"/>
                <w:szCs w:val="19"/>
              </w:rPr>
            </w:pPr>
            <w:r>
              <w:rPr>
                <w:rFonts w:ascii="Calibri" w:hAnsi="Calibri" w:cs="Calibri"/>
                <w:bCs/>
                <w:sz w:val="19"/>
                <w:szCs w:val="19"/>
              </w:rPr>
              <w:t>0</w:t>
            </w:r>
          </w:p>
        </w:tc>
        <w:tc>
          <w:tcPr>
            <w:tcW w:w="1984" w:type="dxa"/>
            <w:gridSpan w:val="2"/>
            <w:tcBorders>
              <w:top w:val="single" w:sz="6" w:space="0" w:color="00428B" w:themeColor="accent1"/>
              <w:left w:val="single" w:sz="6" w:space="0" w:color="00428B" w:themeColor="accent1"/>
              <w:bottom w:val="single" w:sz="4" w:space="0" w:color="00428B" w:themeColor="accent1"/>
              <w:right w:val="nil"/>
            </w:tcBorders>
            <w:shd w:val="clear" w:color="auto" w:fill="C8DCF1" w:themeFill="background2" w:themeFillShade="E6"/>
            <w:vAlign w:val="center"/>
          </w:tcPr>
          <w:p w14:paraId="553C5312" w14:textId="77777777" w:rsidR="00812A7A" w:rsidRPr="00E467BF" w:rsidRDefault="00812A7A" w:rsidP="00812A7A">
            <w:pPr>
              <w:spacing w:after="0" w:line="240" w:lineRule="auto"/>
              <w:ind w:left="141"/>
              <w:rPr>
                <w:rFonts w:ascii="Calibri" w:hAnsi="Calibri" w:cs="Calibri"/>
                <w:bCs/>
                <w:sz w:val="19"/>
                <w:szCs w:val="19"/>
              </w:rPr>
            </w:pPr>
            <w:r w:rsidRPr="00E467BF">
              <w:rPr>
                <w:rFonts w:ascii="Calibri" w:hAnsi="Calibri" w:cs="Calibri"/>
                <w:bCs/>
                <w:sz w:val="19"/>
                <w:szCs w:val="19"/>
              </w:rPr>
              <w:t>Indirect Reports:</w:t>
            </w:r>
          </w:p>
        </w:tc>
        <w:tc>
          <w:tcPr>
            <w:tcW w:w="709" w:type="dxa"/>
            <w:tcBorders>
              <w:top w:val="single" w:sz="6" w:space="0" w:color="00428B" w:themeColor="accent1"/>
              <w:left w:val="nil"/>
              <w:bottom w:val="single" w:sz="4" w:space="0" w:color="00428B" w:themeColor="accent1"/>
              <w:right w:val="single" w:sz="6" w:space="0" w:color="00428B" w:themeColor="accent1"/>
            </w:tcBorders>
            <w:vAlign w:val="center"/>
          </w:tcPr>
          <w:p w14:paraId="064BCE5B" w14:textId="77777777" w:rsidR="00812A7A" w:rsidRPr="00E467BF" w:rsidRDefault="00812A7A" w:rsidP="00812A7A">
            <w:pPr>
              <w:spacing w:after="0" w:line="240" w:lineRule="auto"/>
              <w:ind w:left="141"/>
              <w:rPr>
                <w:rFonts w:ascii="Calibri" w:hAnsi="Calibri" w:cs="Calibri"/>
                <w:bCs/>
                <w:sz w:val="19"/>
                <w:szCs w:val="19"/>
              </w:rPr>
            </w:pPr>
            <w:r>
              <w:rPr>
                <w:rFonts w:ascii="Calibri" w:hAnsi="Calibri" w:cs="Calibri"/>
                <w:bCs/>
                <w:sz w:val="19"/>
                <w:szCs w:val="19"/>
              </w:rPr>
              <w:t>0</w:t>
            </w:r>
          </w:p>
        </w:tc>
        <w:tc>
          <w:tcPr>
            <w:tcW w:w="992"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2538335B" w14:textId="77777777" w:rsidR="00812A7A" w:rsidRPr="00E467BF" w:rsidRDefault="00812A7A" w:rsidP="00812A7A">
            <w:pPr>
              <w:spacing w:after="0" w:line="240" w:lineRule="auto"/>
              <w:ind w:left="141"/>
              <w:rPr>
                <w:rFonts w:ascii="Calibri" w:hAnsi="Calibri" w:cs="Calibri"/>
                <w:b/>
                <w:bCs/>
                <w:sz w:val="19"/>
                <w:szCs w:val="19"/>
              </w:rPr>
            </w:pPr>
            <w:r w:rsidRPr="00E467BF">
              <w:rPr>
                <w:rFonts w:ascii="Calibri" w:hAnsi="Calibri" w:cs="Calibri"/>
                <w:b/>
                <w:bCs/>
                <w:sz w:val="19"/>
                <w:szCs w:val="19"/>
              </w:rPr>
              <w:t>Grade</w:t>
            </w:r>
          </w:p>
        </w:tc>
        <w:tc>
          <w:tcPr>
            <w:tcW w:w="991"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7816E9AB" w14:textId="77777777" w:rsidR="00812A7A" w:rsidRPr="00E467BF" w:rsidRDefault="00812A7A" w:rsidP="00812A7A">
            <w:pPr>
              <w:spacing w:after="0" w:line="240" w:lineRule="auto"/>
              <w:ind w:left="141"/>
              <w:rPr>
                <w:rFonts w:ascii="Calibri" w:hAnsi="Calibri" w:cs="Calibri"/>
                <w:b/>
                <w:bCs/>
                <w:sz w:val="19"/>
                <w:szCs w:val="19"/>
              </w:rPr>
            </w:pPr>
            <w:r>
              <w:rPr>
                <w:rFonts w:ascii="Calibri" w:hAnsi="Calibri" w:cs="Calibri"/>
                <w:b/>
                <w:bCs/>
                <w:sz w:val="19"/>
                <w:szCs w:val="19"/>
              </w:rPr>
              <w:t>16</w:t>
            </w:r>
          </w:p>
        </w:tc>
      </w:tr>
      <w:tr w:rsidR="00812A7A" w:rsidRPr="00395B5C" w14:paraId="5D899452" w14:textId="77777777" w:rsidTr="00224825">
        <w:trPr>
          <w:trHeight w:val="170"/>
        </w:trPr>
        <w:tc>
          <w:tcPr>
            <w:tcW w:w="11612" w:type="dxa"/>
            <w:gridSpan w:val="7"/>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00428B" w:themeFill="accent1"/>
            <w:tcMar>
              <w:top w:w="72" w:type="dxa"/>
              <w:left w:w="133" w:type="dxa"/>
              <w:bottom w:w="72" w:type="dxa"/>
              <w:right w:w="133" w:type="dxa"/>
            </w:tcMar>
            <w:vAlign w:val="center"/>
            <w:hideMark/>
          </w:tcPr>
          <w:p w14:paraId="401CA4BA" w14:textId="77777777" w:rsidR="00812A7A" w:rsidRPr="00395B5C" w:rsidRDefault="00812A7A" w:rsidP="00812A7A">
            <w:pPr>
              <w:spacing w:after="0" w:line="240" w:lineRule="auto"/>
              <w:rPr>
                <w:rFonts w:ascii="Calibri" w:hAnsi="Calibri" w:cs="Calibri"/>
                <w:b/>
                <w:bCs/>
                <w:sz w:val="20"/>
                <w:szCs w:val="20"/>
              </w:rPr>
            </w:pPr>
            <w:r w:rsidRPr="00395B5C">
              <w:rPr>
                <w:rFonts w:ascii="Calibri" w:hAnsi="Calibri" w:cs="Calibri"/>
                <w:b/>
                <w:bCs/>
                <w:sz w:val="20"/>
                <w:szCs w:val="20"/>
              </w:rPr>
              <w:t>Role Purpose</w:t>
            </w:r>
          </w:p>
        </w:tc>
        <w:tc>
          <w:tcPr>
            <w:tcW w:w="4113" w:type="dxa"/>
            <w:gridSpan w:val="4"/>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DAF2F7" w:themeFill="accent3" w:themeFillTint="33"/>
            <w:vAlign w:val="center"/>
          </w:tcPr>
          <w:p w14:paraId="25E85820" w14:textId="77777777" w:rsidR="00812A7A" w:rsidRPr="00395B5C" w:rsidRDefault="00812A7A" w:rsidP="00812A7A">
            <w:pPr>
              <w:spacing w:after="0" w:line="240" w:lineRule="auto"/>
              <w:jc w:val="center"/>
              <w:rPr>
                <w:rFonts w:ascii="Calibri" w:hAnsi="Calibri" w:cs="Calibri"/>
                <w:b/>
                <w:bCs/>
                <w:sz w:val="20"/>
                <w:szCs w:val="20"/>
              </w:rPr>
            </w:pPr>
            <w:r w:rsidRPr="00395B5C">
              <w:rPr>
                <w:rFonts w:ascii="Calibri" w:hAnsi="Calibri" w:cs="Calibri"/>
                <w:b/>
                <w:bCs/>
                <w:sz w:val="20"/>
                <w:szCs w:val="20"/>
              </w:rPr>
              <w:t>Measures of success</w:t>
            </w:r>
          </w:p>
        </w:tc>
      </w:tr>
      <w:tr w:rsidR="00812A7A" w:rsidRPr="0066566F" w14:paraId="45FEB5E2" w14:textId="77777777" w:rsidTr="003E09EF">
        <w:trPr>
          <w:trHeight w:val="485"/>
        </w:trPr>
        <w:tc>
          <w:tcPr>
            <w:tcW w:w="11612" w:type="dxa"/>
            <w:gridSpan w:val="7"/>
            <w:tcBorders>
              <w:top w:val="single" w:sz="4" w:space="0" w:color="00428B" w:themeColor="accent1"/>
              <w:left w:val="single" w:sz="6" w:space="0" w:color="00428B" w:themeColor="accent1"/>
              <w:bottom w:val="single" w:sz="4" w:space="0" w:color="00428B" w:themeColor="accent1"/>
              <w:right w:val="single" w:sz="6" w:space="0" w:color="00428B" w:themeColor="accent1"/>
            </w:tcBorders>
            <w:tcMar>
              <w:top w:w="72" w:type="dxa"/>
              <w:left w:w="133" w:type="dxa"/>
              <w:bottom w:w="72" w:type="dxa"/>
              <w:right w:w="133" w:type="dxa"/>
            </w:tcMar>
          </w:tcPr>
          <w:p w14:paraId="020BFFAF" w14:textId="77777777" w:rsidR="00812A7A" w:rsidRPr="00E467BF" w:rsidRDefault="00812A7A" w:rsidP="00812A7A">
            <w:pPr>
              <w:spacing w:after="0" w:line="240" w:lineRule="auto"/>
              <w:rPr>
                <w:rFonts w:ascii="Calibri" w:hAnsi="Calibri" w:cs="Calibri"/>
                <w:color w:val="000000"/>
                <w:sz w:val="19"/>
                <w:szCs w:val="19"/>
              </w:rPr>
            </w:pPr>
            <w:r w:rsidRPr="00F12BA6">
              <w:rPr>
                <w:rFonts w:ascii="Calibri" w:hAnsi="Calibri" w:cs="Calibri"/>
                <w:sz w:val="19"/>
                <w:szCs w:val="19"/>
              </w:rPr>
              <w:t xml:space="preserve">The Sourcing Manager is directly accountable to the Procurement Manager, Sourcing Delivery for </w:t>
            </w:r>
            <w:r>
              <w:rPr>
                <w:rFonts w:ascii="Calibri" w:hAnsi="Calibri" w:cs="Calibri"/>
                <w:sz w:val="19"/>
                <w:szCs w:val="19"/>
              </w:rPr>
              <w:t xml:space="preserve">leading, facilitating </w:t>
            </w:r>
            <w:r w:rsidRPr="00F12BA6">
              <w:rPr>
                <w:rFonts w:ascii="Calibri" w:hAnsi="Calibri" w:cs="Calibri"/>
                <w:sz w:val="19"/>
                <w:szCs w:val="19"/>
              </w:rPr>
              <w:t xml:space="preserve"> sourcing </w:t>
            </w:r>
            <w:r>
              <w:rPr>
                <w:rFonts w:ascii="Calibri" w:hAnsi="Calibri" w:cs="Calibri"/>
                <w:sz w:val="19"/>
                <w:szCs w:val="19"/>
              </w:rPr>
              <w:t xml:space="preserve">and procurement tender </w:t>
            </w:r>
            <w:r w:rsidRPr="00F12BA6">
              <w:rPr>
                <w:rFonts w:ascii="Calibri" w:hAnsi="Calibri" w:cs="Calibri"/>
                <w:sz w:val="19"/>
                <w:szCs w:val="19"/>
              </w:rPr>
              <w:t xml:space="preserve">activities across </w:t>
            </w:r>
            <w:r>
              <w:rPr>
                <w:rFonts w:ascii="Calibri" w:hAnsi="Calibri" w:cs="Calibri"/>
                <w:sz w:val="19"/>
                <w:szCs w:val="19"/>
              </w:rPr>
              <w:t>multiple</w:t>
            </w:r>
            <w:r w:rsidRPr="00F12BA6">
              <w:rPr>
                <w:rFonts w:ascii="Calibri" w:hAnsi="Calibri" w:cs="Calibri"/>
                <w:sz w:val="19"/>
                <w:szCs w:val="19"/>
              </w:rPr>
              <w:t xml:space="preserve"> category portfolios. The role is responsible for developing, delivering, and managing the end-to-end sourcing process from when a sourcing need is identified and allocated in the Programme of Works, to contract execution. In undertaking sourcing activities, the Sourcing Manager will also be responsible for coordinating, seeking, and managing inputs from internal business unit clients, and cross-functionally between the Category Management</w:t>
            </w:r>
            <w:r>
              <w:rPr>
                <w:rFonts w:ascii="Calibri" w:hAnsi="Calibri" w:cs="Calibri"/>
                <w:sz w:val="19"/>
                <w:szCs w:val="19"/>
              </w:rPr>
              <w:t xml:space="preserve"> function</w:t>
            </w:r>
            <w:r w:rsidRPr="00F12BA6">
              <w:rPr>
                <w:rFonts w:ascii="Calibri" w:hAnsi="Calibri" w:cs="Calibri"/>
                <w:sz w:val="19"/>
                <w:szCs w:val="19"/>
              </w:rPr>
              <w:t xml:space="preserve">, and Contract Management </w:t>
            </w:r>
            <w:r>
              <w:rPr>
                <w:rFonts w:ascii="Calibri" w:hAnsi="Calibri" w:cs="Calibri"/>
                <w:sz w:val="19"/>
                <w:szCs w:val="19"/>
              </w:rPr>
              <w:t>function</w:t>
            </w:r>
            <w:r w:rsidRPr="00F12BA6">
              <w:rPr>
                <w:rFonts w:ascii="Calibri" w:hAnsi="Calibri" w:cs="Calibri"/>
                <w:sz w:val="19"/>
                <w:szCs w:val="19"/>
              </w:rPr>
              <w:t xml:space="preserve"> within the Procurement and Contract Management </w:t>
            </w:r>
            <w:r>
              <w:rPr>
                <w:rFonts w:ascii="Calibri" w:hAnsi="Calibri" w:cs="Calibri"/>
                <w:sz w:val="19"/>
                <w:szCs w:val="19"/>
              </w:rPr>
              <w:t>team</w:t>
            </w:r>
            <w:r w:rsidRPr="00F12BA6">
              <w:rPr>
                <w:rFonts w:ascii="Calibri" w:hAnsi="Calibri" w:cs="Calibri"/>
                <w:sz w:val="19"/>
                <w:szCs w:val="19"/>
              </w:rPr>
              <w:t>.</w:t>
            </w:r>
          </w:p>
        </w:tc>
        <w:tc>
          <w:tcPr>
            <w:tcW w:w="4113" w:type="dxa"/>
            <w:gridSpan w:val="4"/>
            <w:tcBorders>
              <w:top w:val="single" w:sz="4" w:space="0" w:color="00428B" w:themeColor="accent1"/>
              <w:left w:val="single" w:sz="6" w:space="0" w:color="00428B" w:themeColor="accent1"/>
              <w:bottom w:val="single" w:sz="4" w:space="0" w:color="00428B" w:themeColor="accent1"/>
              <w:right w:val="single" w:sz="6" w:space="0" w:color="00428B" w:themeColor="accent1"/>
            </w:tcBorders>
          </w:tcPr>
          <w:p w14:paraId="215C93A6" w14:textId="77777777" w:rsidR="00812A7A" w:rsidRPr="000926B3" w:rsidRDefault="00812A7A" w:rsidP="00812A7A">
            <w:pPr>
              <w:spacing w:after="40" w:line="240" w:lineRule="auto"/>
              <w:ind w:left="136"/>
              <w:rPr>
                <w:rFonts w:ascii="Calibri" w:hAnsi="Calibri" w:cs="Calibri"/>
                <w:b/>
                <w:sz w:val="18"/>
                <w:szCs w:val="18"/>
              </w:rPr>
            </w:pPr>
            <w:r w:rsidRPr="00E467BF">
              <w:rPr>
                <w:rFonts w:ascii="Calibri" w:hAnsi="Calibri" w:cs="Calibri"/>
                <w:b/>
                <w:sz w:val="19"/>
                <w:szCs w:val="19"/>
              </w:rPr>
              <w:t xml:space="preserve">Time focus: </w:t>
            </w:r>
            <w:r>
              <w:rPr>
                <w:rFonts w:ascii="Calibri" w:hAnsi="Calibri" w:cs="Calibri"/>
                <w:b/>
                <w:sz w:val="19"/>
                <w:szCs w:val="19"/>
              </w:rPr>
              <w:t xml:space="preserve">  </w:t>
            </w:r>
            <w:r w:rsidRPr="000926B3">
              <w:rPr>
                <w:rFonts w:ascii="Calibri" w:hAnsi="Calibri" w:cs="Calibri"/>
                <w:i/>
                <w:sz w:val="18"/>
                <w:szCs w:val="18"/>
              </w:rPr>
              <w:t>(see detail over page)</w:t>
            </w:r>
          </w:p>
          <w:p w14:paraId="77990E30" w14:textId="77777777" w:rsidR="00812A7A" w:rsidRPr="00E467BF" w:rsidRDefault="00812A7A" w:rsidP="00812A7A">
            <w:pPr>
              <w:tabs>
                <w:tab w:val="left" w:pos="1773"/>
              </w:tabs>
              <w:spacing w:after="0" w:line="240" w:lineRule="auto"/>
              <w:ind w:left="147"/>
              <w:rPr>
                <w:rFonts w:ascii="Calibri" w:hAnsi="Calibri" w:cs="Calibri"/>
                <w:sz w:val="19"/>
                <w:szCs w:val="19"/>
                <w:lang w:val="en-GB"/>
              </w:rPr>
            </w:pPr>
            <w:r>
              <w:rPr>
                <w:rFonts w:ascii="Calibri" w:hAnsi="Calibri" w:cs="Calibri"/>
                <w:sz w:val="19"/>
                <w:szCs w:val="19"/>
                <w:lang w:val="en-GB"/>
              </w:rPr>
              <w:t>5</w:t>
            </w:r>
            <w:r w:rsidRPr="00E467BF">
              <w:rPr>
                <w:rFonts w:ascii="Calibri" w:hAnsi="Calibri" w:cs="Calibri"/>
                <w:sz w:val="19"/>
                <w:szCs w:val="19"/>
                <w:lang w:val="en-GB"/>
              </w:rPr>
              <w:t>% Influencer</w:t>
            </w:r>
            <w:r w:rsidRPr="00E467BF">
              <w:rPr>
                <w:rFonts w:ascii="Calibri" w:hAnsi="Calibri" w:cs="Calibri"/>
                <w:sz w:val="19"/>
                <w:szCs w:val="19"/>
                <w:lang w:val="en-GB"/>
              </w:rPr>
              <w:tab/>
            </w:r>
            <w:r>
              <w:rPr>
                <w:rFonts w:ascii="Calibri" w:hAnsi="Calibri" w:cs="Calibri"/>
                <w:sz w:val="19"/>
                <w:szCs w:val="19"/>
                <w:lang w:val="en-GB"/>
              </w:rPr>
              <w:t>5</w:t>
            </w:r>
            <w:r w:rsidRPr="00E467BF">
              <w:rPr>
                <w:rFonts w:ascii="Calibri" w:hAnsi="Calibri" w:cs="Calibri"/>
                <w:sz w:val="19"/>
                <w:szCs w:val="19"/>
                <w:lang w:val="en-GB"/>
              </w:rPr>
              <w:t>% Strategist</w:t>
            </w:r>
          </w:p>
          <w:p w14:paraId="45C231D6" w14:textId="77777777" w:rsidR="00812A7A" w:rsidRPr="00E467BF" w:rsidRDefault="00812A7A" w:rsidP="00812A7A">
            <w:pPr>
              <w:tabs>
                <w:tab w:val="left" w:pos="1773"/>
              </w:tabs>
              <w:spacing w:after="0" w:line="240" w:lineRule="auto"/>
              <w:ind w:left="147"/>
              <w:rPr>
                <w:rFonts w:ascii="Calibri" w:hAnsi="Calibri" w:cs="Calibri"/>
                <w:sz w:val="19"/>
                <w:szCs w:val="19"/>
                <w:lang w:val="en-GB"/>
              </w:rPr>
            </w:pPr>
            <w:r>
              <w:rPr>
                <w:rFonts w:ascii="Calibri" w:hAnsi="Calibri" w:cs="Calibri"/>
                <w:sz w:val="19"/>
                <w:szCs w:val="19"/>
                <w:lang w:val="en-GB"/>
              </w:rPr>
              <w:t>45</w:t>
            </w:r>
            <w:r w:rsidRPr="00E467BF">
              <w:rPr>
                <w:rFonts w:ascii="Calibri" w:hAnsi="Calibri" w:cs="Calibri"/>
                <w:sz w:val="19"/>
                <w:szCs w:val="19"/>
                <w:lang w:val="en-GB"/>
              </w:rPr>
              <w:t xml:space="preserve">% </w:t>
            </w:r>
            <w:r>
              <w:rPr>
                <w:rFonts w:ascii="Calibri" w:hAnsi="Calibri" w:cs="Calibri"/>
                <w:sz w:val="19"/>
                <w:szCs w:val="19"/>
                <w:lang w:val="en-GB"/>
              </w:rPr>
              <w:t>Contributor</w:t>
            </w:r>
            <w:r w:rsidRPr="00E467BF">
              <w:rPr>
                <w:rFonts w:ascii="Calibri" w:hAnsi="Calibri" w:cs="Calibri"/>
                <w:sz w:val="19"/>
                <w:szCs w:val="19"/>
                <w:lang w:val="en-GB"/>
              </w:rPr>
              <w:tab/>
            </w:r>
            <w:r>
              <w:rPr>
                <w:rFonts w:ascii="Calibri" w:hAnsi="Calibri" w:cs="Calibri"/>
                <w:sz w:val="19"/>
                <w:szCs w:val="19"/>
                <w:lang w:val="en-GB"/>
              </w:rPr>
              <w:t xml:space="preserve"> 45</w:t>
            </w:r>
            <w:r w:rsidRPr="00E467BF">
              <w:rPr>
                <w:rFonts w:ascii="Calibri" w:hAnsi="Calibri" w:cs="Calibri"/>
                <w:sz w:val="19"/>
                <w:szCs w:val="19"/>
                <w:lang w:val="en-GB"/>
              </w:rPr>
              <w:t>% Driver</w:t>
            </w:r>
          </w:p>
        </w:tc>
      </w:tr>
      <w:tr w:rsidR="00812A7A" w:rsidRPr="0066566F" w14:paraId="5C6EF736" w14:textId="77777777" w:rsidTr="00A04B61">
        <w:trPr>
          <w:trHeight w:val="170"/>
        </w:trPr>
        <w:tc>
          <w:tcPr>
            <w:tcW w:w="11612" w:type="dxa"/>
            <w:gridSpan w:val="7"/>
            <w:tcBorders>
              <w:top w:val="single" w:sz="4" w:space="0" w:color="00428B" w:themeColor="accent1"/>
              <w:left w:val="single" w:sz="6" w:space="0" w:color="00428B" w:themeColor="accent1"/>
              <w:bottom w:val="single" w:sz="4" w:space="0" w:color="00428B" w:themeColor="accent1"/>
              <w:right w:val="single" w:sz="4" w:space="0" w:color="00428B" w:themeColor="accent1"/>
            </w:tcBorders>
            <w:shd w:val="clear" w:color="auto" w:fill="00428B" w:themeFill="text2"/>
            <w:tcMar>
              <w:top w:w="72" w:type="dxa"/>
              <w:left w:w="133" w:type="dxa"/>
              <w:bottom w:w="72" w:type="dxa"/>
              <w:right w:w="133" w:type="dxa"/>
            </w:tcMar>
            <w:vAlign w:val="center"/>
            <w:hideMark/>
          </w:tcPr>
          <w:p w14:paraId="57948275" w14:textId="77777777" w:rsidR="00812A7A" w:rsidRPr="00A04B61" w:rsidRDefault="00812A7A" w:rsidP="00812A7A">
            <w:pPr>
              <w:spacing w:after="0" w:line="240" w:lineRule="auto"/>
              <w:rPr>
                <w:rFonts w:ascii="Calibri" w:hAnsi="Calibri" w:cs="Calibri"/>
                <w:b/>
                <w:bCs/>
                <w:color w:val="FFFFFF" w:themeColor="background1"/>
                <w:sz w:val="20"/>
                <w:szCs w:val="20"/>
              </w:rPr>
            </w:pPr>
            <w:r w:rsidRPr="00A04B61">
              <w:rPr>
                <w:rFonts w:ascii="Calibri" w:hAnsi="Calibri" w:cs="Calibri"/>
                <w:b/>
                <w:bCs/>
                <w:color w:val="FFFFFF" w:themeColor="background1"/>
                <w:sz w:val="20"/>
                <w:szCs w:val="20"/>
              </w:rPr>
              <w:t>Key individual accountabilities</w:t>
            </w:r>
          </w:p>
        </w:tc>
        <w:tc>
          <w:tcPr>
            <w:tcW w:w="4113" w:type="dxa"/>
            <w:gridSpan w:val="4"/>
            <w:tcBorders>
              <w:top w:val="single" w:sz="4" w:space="0" w:color="00428B" w:themeColor="accent1"/>
              <w:left w:val="single" w:sz="4" w:space="0" w:color="00428B" w:themeColor="accent1"/>
              <w:bottom w:val="single" w:sz="4" w:space="0" w:color="00428B" w:themeColor="accent1"/>
              <w:right w:val="single" w:sz="6" w:space="0" w:color="00428B" w:themeColor="accent1"/>
            </w:tcBorders>
            <w:shd w:val="clear" w:color="auto" w:fill="DAF2F7" w:themeFill="accent3" w:themeFillTint="33"/>
          </w:tcPr>
          <w:p w14:paraId="775D96CC" w14:textId="77777777" w:rsidR="00812A7A" w:rsidRPr="00E467BF" w:rsidRDefault="00812A7A" w:rsidP="00812A7A">
            <w:pPr>
              <w:spacing w:after="0" w:line="240" w:lineRule="auto"/>
              <w:jc w:val="center"/>
              <w:rPr>
                <w:rFonts w:ascii="Calibri" w:hAnsi="Calibri" w:cs="Calibri"/>
                <w:b/>
                <w:bCs/>
                <w:sz w:val="19"/>
                <w:szCs w:val="19"/>
              </w:rPr>
            </w:pPr>
            <w:r w:rsidRPr="00E467BF">
              <w:rPr>
                <w:rFonts w:ascii="Calibri" w:hAnsi="Calibri" w:cs="Calibri"/>
                <w:b/>
                <w:bCs/>
                <w:sz w:val="19"/>
                <w:szCs w:val="19"/>
              </w:rPr>
              <w:t>Qualifications &amp; Experience</w:t>
            </w:r>
          </w:p>
        </w:tc>
      </w:tr>
      <w:tr w:rsidR="00812A7A" w:rsidRPr="0066566F" w14:paraId="27C82B26" w14:textId="77777777" w:rsidTr="00224825">
        <w:trPr>
          <w:trHeight w:val="1678"/>
        </w:trPr>
        <w:tc>
          <w:tcPr>
            <w:tcW w:w="11612" w:type="dxa"/>
            <w:gridSpan w:val="7"/>
            <w:tcBorders>
              <w:top w:val="single" w:sz="4" w:space="0" w:color="00428B" w:themeColor="accent1"/>
              <w:left w:val="single" w:sz="6" w:space="0" w:color="00428B" w:themeColor="accent1"/>
              <w:bottom w:val="single" w:sz="4" w:space="0" w:color="00428B" w:themeColor="accent1"/>
              <w:right w:val="single" w:sz="4" w:space="0" w:color="00428B" w:themeColor="accent1"/>
            </w:tcBorders>
            <w:tcMar>
              <w:top w:w="72" w:type="dxa"/>
              <w:left w:w="133" w:type="dxa"/>
              <w:bottom w:w="72" w:type="dxa"/>
              <w:right w:w="133" w:type="dxa"/>
            </w:tcMar>
            <w:hideMark/>
          </w:tcPr>
          <w:p w14:paraId="280EAA0F" w14:textId="77777777" w:rsidR="00812A7A" w:rsidRDefault="00812A7A" w:rsidP="00812A7A">
            <w:pPr>
              <w:numPr>
                <w:ilvl w:val="0"/>
                <w:numId w:val="12"/>
              </w:numPr>
              <w:spacing w:after="0" w:line="240" w:lineRule="auto"/>
              <w:rPr>
                <w:rFonts w:ascii="Calibri" w:hAnsi="Calibri" w:cs="Calibri"/>
                <w:sz w:val="19"/>
                <w:szCs w:val="19"/>
                <w:lang w:val="en-GB"/>
              </w:rPr>
            </w:pPr>
            <w:r w:rsidRPr="008735DC">
              <w:rPr>
                <w:rFonts w:ascii="Calibri" w:hAnsi="Calibri" w:cs="Calibri"/>
                <w:sz w:val="19"/>
                <w:szCs w:val="19"/>
                <w:lang w:val="en-GB"/>
              </w:rPr>
              <w:t>Ensure compliance with organisational procedures associated with the sourcing process.</w:t>
            </w:r>
          </w:p>
          <w:p w14:paraId="559EDA50" w14:textId="77777777" w:rsidR="00812A7A" w:rsidRPr="008735DC" w:rsidRDefault="00812A7A" w:rsidP="00812A7A">
            <w:pPr>
              <w:numPr>
                <w:ilvl w:val="0"/>
                <w:numId w:val="12"/>
              </w:numPr>
              <w:spacing w:after="0" w:line="240" w:lineRule="auto"/>
              <w:rPr>
                <w:rFonts w:ascii="Calibri" w:hAnsi="Calibri" w:cs="Calibri"/>
                <w:sz w:val="19"/>
                <w:szCs w:val="19"/>
                <w:lang w:val="en-GB"/>
              </w:rPr>
            </w:pPr>
            <w:r w:rsidRPr="008735DC">
              <w:rPr>
                <w:rFonts w:ascii="Calibri" w:hAnsi="Calibri" w:cs="Calibri"/>
                <w:sz w:val="19"/>
                <w:szCs w:val="19"/>
                <w:lang w:val="en-GB"/>
              </w:rPr>
              <w:t>Developing sourcing options for Delegation of Authority approval in line with relevant Category Management Plans (CMPs).</w:t>
            </w:r>
          </w:p>
          <w:p w14:paraId="4A2A193C" w14:textId="77777777" w:rsidR="00812A7A" w:rsidRPr="008735DC" w:rsidRDefault="00812A7A" w:rsidP="00812A7A">
            <w:pPr>
              <w:numPr>
                <w:ilvl w:val="0"/>
                <w:numId w:val="12"/>
              </w:numPr>
              <w:spacing w:after="0" w:line="240" w:lineRule="auto"/>
              <w:rPr>
                <w:rFonts w:ascii="Calibri" w:hAnsi="Calibri" w:cs="Calibri"/>
                <w:sz w:val="19"/>
                <w:szCs w:val="19"/>
                <w:lang w:val="en-GB"/>
              </w:rPr>
            </w:pPr>
            <w:r w:rsidRPr="008735DC">
              <w:rPr>
                <w:rFonts w:ascii="Calibri" w:hAnsi="Calibri" w:cs="Calibri"/>
                <w:sz w:val="19"/>
                <w:szCs w:val="19"/>
                <w:lang w:val="en-GB"/>
              </w:rPr>
              <w:t xml:space="preserve">Supporting </w:t>
            </w:r>
            <w:r>
              <w:rPr>
                <w:rFonts w:ascii="Calibri" w:hAnsi="Calibri" w:cs="Calibri"/>
                <w:sz w:val="19"/>
                <w:szCs w:val="19"/>
                <w:lang w:val="en-GB"/>
              </w:rPr>
              <w:t xml:space="preserve">and leading </w:t>
            </w:r>
            <w:r w:rsidRPr="008735DC">
              <w:rPr>
                <w:rFonts w:ascii="Calibri" w:hAnsi="Calibri" w:cs="Calibri"/>
                <w:sz w:val="19"/>
                <w:szCs w:val="19"/>
                <w:lang w:val="en-GB"/>
              </w:rPr>
              <w:t xml:space="preserve">internal Business </w:t>
            </w:r>
            <w:r>
              <w:rPr>
                <w:rFonts w:ascii="Calibri" w:hAnsi="Calibri" w:cs="Calibri"/>
                <w:sz w:val="19"/>
                <w:szCs w:val="19"/>
                <w:lang w:val="en-GB"/>
              </w:rPr>
              <w:t>stakeholders</w:t>
            </w:r>
            <w:r w:rsidRPr="008735DC">
              <w:rPr>
                <w:rFonts w:ascii="Calibri" w:hAnsi="Calibri" w:cs="Calibri"/>
                <w:sz w:val="19"/>
                <w:szCs w:val="19"/>
                <w:lang w:val="en-GB"/>
              </w:rPr>
              <w:t xml:space="preserve"> with scoping requirements, and developing tender suites, </w:t>
            </w:r>
            <w:r>
              <w:rPr>
                <w:rFonts w:ascii="Calibri" w:hAnsi="Calibri" w:cs="Calibri"/>
                <w:sz w:val="19"/>
                <w:szCs w:val="19"/>
                <w:lang w:val="en-GB"/>
              </w:rPr>
              <w:t xml:space="preserve">evaluation criteria, and assessment outcomes </w:t>
            </w:r>
            <w:r w:rsidRPr="008735DC">
              <w:rPr>
                <w:rFonts w:ascii="Calibri" w:hAnsi="Calibri" w:cs="Calibri"/>
                <w:sz w:val="19"/>
                <w:szCs w:val="19"/>
                <w:lang w:val="en-GB"/>
              </w:rPr>
              <w:t>for tender events.</w:t>
            </w:r>
          </w:p>
          <w:p w14:paraId="4C16FB65" w14:textId="77777777" w:rsidR="00812A7A" w:rsidRDefault="00812A7A" w:rsidP="00812A7A">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Managing conflict of interest and 1</w:t>
            </w:r>
            <w:r w:rsidRPr="009C41E8">
              <w:rPr>
                <w:rFonts w:ascii="Calibri" w:hAnsi="Calibri" w:cs="Calibri"/>
                <w:sz w:val="19"/>
                <w:szCs w:val="19"/>
                <w:vertAlign w:val="superscript"/>
                <w:lang w:val="en-GB"/>
              </w:rPr>
              <w:t>st</w:t>
            </w:r>
            <w:r>
              <w:rPr>
                <w:rFonts w:ascii="Calibri" w:hAnsi="Calibri" w:cs="Calibri"/>
                <w:sz w:val="19"/>
                <w:szCs w:val="19"/>
                <w:lang w:val="en-GB"/>
              </w:rPr>
              <w:t xml:space="preserve"> line Probity requirements amongst stakeholder groups across the life of the sourcing event.</w:t>
            </w:r>
          </w:p>
          <w:p w14:paraId="28B74169" w14:textId="77777777" w:rsidR="00812A7A" w:rsidRDefault="00812A7A" w:rsidP="00812A7A">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 xml:space="preserve">Providing related Procurement Framework and Contract Management Framework guidance to cross-functional stakeholder groups where it relates to the sourcing activities. </w:t>
            </w:r>
          </w:p>
          <w:p w14:paraId="19552C51" w14:textId="77777777" w:rsidR="00812A7A" w:rsidRPr="008735DC" w:rsidRDefault="00812A7A" w:rsidP="00812A7A">
            <w:pPr>
              <w:numPr>
                <w:ilvl w:val="0"/>
                <w:numId w:val="12"/>
              </w:numPr>
              <w:spacing w:after="0" w:line="240" w:lineRule="auto"/>
              <w:rPr>
                <w:rFonts w:ascii="Calibri" w:hAnsi="Calibri" w:cs="Calibri"/>
                <w:sz w:val="19"/>
                <w:szCs w:val="19"/>
                <w:lang w:val="en-GB"/>
              </w:rPr>
            </w:pPr>
            <w:r w:rsidRPr="008735DC">
              <w:rPr>
                <w:rFonts w:ascii="Calibri" w:hAnsi="Calibri" w:cs="Calibri"/>
                <w:sz w:val="19"/>
                <w:szCs w:val="19"/>
                <w:lang w:val="en-GB"/>
              </w:rPr>
              <w:t>Evaluatin</w:t>
            </w:r>
            <w:r>
              <w:rPr>
                <w:rFonts w:ascii="Calibri" w:hAnsi="Calibri" w:cs="Calibri"/>
                <w:sz w:val="19"/>
                <w:szCs w:val="19"/>
                <w:lang w:val="en-GB"/>
              </w:rPr>
              <w:t>g and researching</w:t>
            </w:r>
            <w:r w:rsidRPr="008735DC">
              <w:rPr>
                <w:rFonts w:ascii="Calibri" w:hAnsi="Calibri" w:cs="Calibri"/>
                <w:sz w:val="19"/>
                <w:szCs w:val="19"/>
                <w:lang w:val="en-GB"/>
              </w:rPr>
              <w:t xml:space="preserve"> the use and choice of prequalified suppliers, pre‐qualification criteria or processes for supplier appraisal in the sourcing process taking into account stakeholder requirements</w:t>
            </w:r>
            <w:r>
              <w:rPr>
                <w:rFonts w:ascii="Calibri" w:hAnsi="Calibri" w:cs="Calibri"/>
                <w:sz w:val="19"/>
                <w:szCs w:val="19"/>
                <w:lang w:val="en-GB"/>
              </w:rPr>
              <w:t>, CMP insights, and contract management inputs</w:t>
            </w:r>
            <w:r w:rsidRPr="008735DC">
              <w:rPr>
                <w:rFonts w:ascii="Calibri" w:hAnsi="Calibri" w:cs="Calibri"/>
                <w:sz w:val="19"/>
                <w:szCs w:val="19"/>
                <w:lang w:val="en-GB"/>
              </w:rPr>
              <w:t>.</w:t>
            </w:r>
          </w:p>
          <w:p w14:paraId="7391EABA" w14:textId="77777777" w:rsidR="00812A7A" w:rsidRPr="008735DC" w:rsidRDefault="00812A7A" w:rsidP="00812A7A">
            <w:pPr>
              <w:numPr>
                <w:ilvl w:val="0"/>
                <w:numId w:val="12"/>
              </w:numPr>
              <w:spacing w:after="0" w:line="240" w:lineRule="auto"/>
              <w:rPr>
                <w:rFonts w:ascii="Calibri" w:hAnsi="Calibri" w:cs="Calibri"/>
                <w:sz w:val="19"/>
                <w:szCs w:val="19"/>
                <w:lang w:val="en-GB"/>
              </w:rPr>
            </w:pPr>
            <w:r w:rsidRPr="008735DC">
              <w:rPr>
                <w:rFonts w:ascii="Calibri" w:hAnsi="Calibri" w:cs="Calibri"/>
                <w:sz w:val="19"/>
                <w:szCs w:val="19"/>
                <w:lang w:val="en-GB"/>
              </w:rPr>
              <w:t>Analysing and advising on supplier’s financial capability, liquidity, and compliance with internal policies, and WoVG regulatory frameworks.</w:t>
            </w:r>
          </w:p>
          <w:p w14:paraId="3FE6D077" w14:textId="77777777" w:rsidR="00812A7A" w:rsidRDefault="00812A7A" w:rsidP="00812A7A">
            <w:pPr>
              <w:numPr>
                <w:ilvl w:val="0"/>
                <w:numId w:val="12"/>
              </w:numPr>
              <w:spacing w:after="0" w:line="240" w:lineRule="auto"/>
              <w:rPr>
                <w:rFonts w:ascii="Calibri" w:hAnsi="Calibri" w:cs="Calibri"/>
                <w:sz w:val="19"/>
                <w:szCs w:val="19"/>
                <w:lang w:val="en-GB"/>
              </w:rPr>
            </w:pPr>
            <w:r w:rsidRPr="00EB3A92">
              <w:rPr>
                <w:rFonts w:ascii="Calibri" w:hAnsi="Calibri" w:cs="Calibri"/>
                <w:sz w:val="19"/>
                <w:szCs w:val="19"/>
                <w:lang w:val="en-GB"/>
              </w:rPr>
              <w:t>Liaising with suppliers and other stakeholders and undertake proac</w:t>
            </w:r>
            <w:r w:rsidRPr="00EB3A92">
              <w:rPr>
                <w:rFonts w:ascii="Calibri" w:eastAsia="Calibri" w:hAnsi="Calibri" w:cs="Calibri"/>
                <w:sz w:val="19"/>
                <w:szCs w:val="19"/>
                <w:lang w:val="en-GB"/>
              </w:rPr>
              <w:t>ti</w:t>
            </w:r>
            <w:r w:rsidRPr="00EB3A92">
              <w:rPr>
                <w:rFonts w:ascii="Calibri" w:hAnsi="Calibri" w:cs="Calibri"/>
                <w:sz w:val="19"/>
                <w:szCs w:val="19"/>
                <w:lang w:val="en-GB"/>
              </w:rPr>
              <w:t>ve ac</w:t>
            </w:r>
            <w:r w:rsidRPr="00EB3A92">
              <w:rPr>
                <w:rFonts w:ascii="Calibri" w:eastAsia="Calibri" w:hAnsi="Calibri" w:cs="Calibri"/>
                <w:sz w:val="19"/>
                <w:szCs w:val="19"/>
                <w:lang w:val="en-GB"/>
              </w:rPr>
              <w:t>ti</w:t>
            </w:r>
            <w:r w:rsidRPr="00EB3A92">
              <w:rPr>
                <w:rFonts w:ascii="Calibri" w:hAnsi="Calibri" w:cs="Calibri"/>
                <w:sz w:val="19"/>
                <w:szCs w:val="19"/>
                <w:lang w:val="en-GB"/>
              </w:rPr>
              <w:t>ons towards successful sourcing activity delivery.</w:t>
            </w:r>
          </w:p>
          <w:p w14:paraId="14D8387B" w14:textId="77777777" w:rsidR="00812A7A" w:rsidRPr="00EB3A92" w:rsidRDefault="00812A7A" w:rsidP="00812A7A">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Negotiating</w:t>
            </w:r>
            <w:r w:rsidRPr="00EB3A92">
              <w:rPr>
                <w:rFonts w:ascii="Calibri" w:hAnsi="Calibri" w:cs="Calibri"/>
                <w:sz w:val="19"/>
                <w:szCs w:val="19"/>
                <w:lang w:val="en-GB"/>
              </w:rPr>
              <w:t xml:space="preserve"> requirements with internal stakeholders and create best value for money outcomes </w:t>
            </w:r>
            <w:r>
              <w:rPr>
                <w:rFonts w:ascii="Calibri" w:hAnsi="Calibri" w:cs="Calibri"/>
                <w:sz w:val="19"/>
                <w:szCs w:val="19"/>
                <w:lang w:val="en-GB"/>
              </w:rPr>
              <w:t xml:space="preserve">and manageable risk outcomes </w:t>
            </w:r>
            <w:r w:rsidRPr="00EB3A92">
              <w:rPr>
                <w:rFonts w:ascii="Calibri" w:hAnsi="Calibri" w:cs="Calibri"/>
                <w:sz w:val="19"/>
                <w:szCs w:val="19"/>
                <w:lang w:val="en-GB"/>
              </w:rPr>
              <w:t>achieved with suppliers ac</w:t>
            </w:r>
            <w:r>
              <w:rPr>
                <w:rFonts w:ascii="Calibri" w:eastAsia="Calibri" w:hAnsi="Calibri" w:cs="Calibri"/>
                <w:sz w:val="19"/>
                <w:szCs w:val="19"/>
                <w:lang w:val="en-GB"/>
              </w:rPr>
              <w:t>ti</w:t>
            </w:r>
            <w:r w:rsidRPr="00EB3A92">
              <w:rPr>
                <w:rFonts w:ascii="Calibri" w:hAnsi="Calibri" w:cs="Calibri"/>
                <w:sz w:val="19"/>
                <w:szCs w:val="19"/>
                <w:lang w:val="en-GB"/>
              </w:rPr>
              <w:t>ng within limits of authority</w:t>
            </w:r>
            <w:r>
              <w:rPr>
                <w:rFonts w:ascii="Calibri" w:hAnsi="Calibri" w:cs="Calibri"/>
                <w:sz w:val="19"/>
                <w:szCs w:val="19"/>
                <w:lang w:val="en-GB"/>
              </w:rPr>
              <w:t>.</w:t>
            </w:r>
          </w:p>
          <w:p w14:paraId="45FB7297" w14:textId="77777777" w:rsidR="00812A7A" w:rsidRDefault="00812A7A" w:rsidP="00812A7A">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N</w:t>
            </w:r>
            <w:r w:rsidRPr="00EB3A92">
              <w:rPr>
                <w:rFonts w:ascii="Calibri" w:hAnsi="Calibri" w:cs="Calibri"/>
                <w:sz w:val="19"/>
                <w:szCs w:val="19"/>
                <w:lang w:val="en-GB"/>
              </w:rPr>
              <w:t>egotia</w:t>
            </w:r>
            <w:r>
              <w:rPr>
                <w:rFonts w:ascii="Calibri" w:hAnsi="Calibri" w:cs="Calibri"/>
                <w:sz w:val="19"/>
                <w:szCs w:val="19"/>
                <w:lang w:val="en-GB"/>
              </w:rPr>
              <w:t>ting</w:t>
            </w:r>
            <w:r w:rsidRPr="00EB3A92">
              <w:rPr>
                <w:rFonts w:ascii="Calibri" w:hAnsi="Calibri" w:cs="Calibri"/>
                <w:sz w:val="19"/>
                <w:szCs w:val="19"/>
                <w:lang w:val="en-GB"/>
              </w:rPr>
              <w:t xml:space="preserve"> with suppliers and </w:t>
            </w:r>
            <w:r>
              <w:rPr>
                <w:rFonts w:ascii="Calibri" w:hAnsi="Calibri" w:cs="Calibri"/>
                <w:sz w:val="19"/>
                <w:szCs w:val="19"/>
                <w:lang w:val="en-GB"/>
              </w:rPr>
              <w:t xml:space="preserve">internal </w:t>
            </w:r>
            <w:r w:rsidRPr="00EB3A92">
              <w:rPr>
                <w:rFonts w:ascii="Calibri" w:hAnsi="Calibri" w:cs="Calibri"/>
                <w:sz w:val="19"/>
                <w:szCs w:val="19"/>
                <w:lang w:val="en-GB"/>
              </w:rPr>
              <w:t>stakeholders to</w:t>
            </w:r>
            <w:r>
              <w:rPr>
                <w:rFonts w:ascii="Calibri" w:hAnsi="Calibri" w:cs="Calibri"/>
                <w:sz w:val="19"/>
                <w:szCs w:val="19"/>
                <w:lang w:val="en-GB"/>
              </w:rPr>
              <w:t xml:space="preserve"> set and </w:t>
            </w:r>
            <w:r w:rsidRPr="00EB3A92">
              <w:rPr>
                <w:rFonts w:ascii="Calibri" w:hAnsi="Calibri" w:cs="Calibri"/>
                <w:sz w:val="19"/>
                <w:szCs w:val="19"/>
                <w:lang w:val="en-GB"/>
              </w:rPr>
              <w:t>achieve desired</w:t>
            </w:r>
            <w:r>
              <w:rPr>
                <w:rFonts w:ascii="Calibri" w:hAnsi="Calibri" w:cs="Calibri"/>
                <w:sz w:val="19"/>
                <w:szCs w:val="19"/>
                <w:lang w:val="en-GB"/>
              </w:rPr>
              <w:t xml:space="preserve"> sourcing</w:t>
            </w:r>
            <w:r w:rsidRPr="00EB3A92">
              <w:rPr>
                <w:rFonts w:ascii="Calibri" w:hAnsi="Calibri" w:cs="Calibri"/>
                <w:sz w:val="19"/>
                <w:szCs w:val="19"/>
                <w:lang w:val="en-GB"/>
              </w:rPr>
              <w:t xml:space="preserve"> outcomes</w:t>
            </w:r>
            <w:r>
              <w:rPr>
                <w:rFonts w:ascii="Calibri" w:hAnsi="Calibri" w:cs="Calibri"/>
                <w:sz w:val="19"/>
                <w:szCs w:val="19"/>
                <w:lang w:val="en-GB"/>
              </w:rPr>
              <w:t>.</w:t>
            </w:r>
          </w:p>
          <w:p w14:paraId="5A67F5A1" w14:textId="77777777" w:rsidR="00812A7A" w:rsidRDefault="00812A7A" w:rsidP="00812A7A">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 xml:space="preserve">Supporting monitoring </w:t>
            </w:r>
            <w:r w:rsidRPr="00EF191E">
              <w:rPr>
                <w:rFonts w:ascii="Calibri" w:hAnsi="Calibri" w:cs="Calibri"/>
                <w:sz w:val="19"/>
                <w:szCs w:val="19"/>
                <w:lang w:val="en-GB"/>
              </w:rPr>
              <w:t xml:space="preserve">processes and procedures adopted by internal and external stakeholders to ensure that ethical and responsible procurement and supply principles are upheld, </w:t>
            </w:r>
            <w:r>
              <w:rPr>
                <w:rFonts w:ascii="Calibri" w:hAnsi="Calibri" w:cs="Calibri"/>
                <w:sz w:val="19"/>
                <w:szCs w:val="19"/>
                <w:lang w:val="en-GB"/>
              </w:rPr>
              <w:t xml:space="preserve">and </w:t>
            </w:r>
            <w:r w:rsidRPr="00EF191E">
              <w:rPr>
                <w:rFonts w:ascii="Calibri" w:hAnsi="Calibri" w:cs="Calibri"/>
                <w:sz w:val="19"/>
                <w:szCs w:val="19"/>
                <w:lang w:val="en-GB"/>
              </w:rPr>
              <w:t>escala</w:t>
            </w:r>
            <w:r w:rsidRPr="00EF191E">
              <w:rPr>
                <w:rFonts w:ascii="Calibri" w:eastAsia="Calibri" w:hAnsi="Calibri" w:cs="Calibri"/>
                <w:sz w:val="19"/>
                <w:szCs w:val="19"/>
                <w:lang w:val="en-GB"/>
              </w:rPr>
              <w:t>ti</w:t>
            </w:r>
            <w:r w:rsidRPr="00EF191E">
              <w:rPr>
                <w:rFonts w:ascii="Calibri" w:hAnsi="Calibri" w:cs="Calibri"/>
                <w:sz w:val="19"/>
                <w:szCs w:val="19"/>
                <w:lang w:val="en-GB"/>
              </w:rPr>
              <w:t>ng to Procurement Manager, Sourcing Delivery suspected</w:t>
            </w:r>
            <w:r>
              <w:rPr>
                <w:rFonts w:ascii="Calibri" w:hAnsi="Calibri" w:cs="Calibri"/>
                <w:sz w:val="19"/>
                <w:szCs w:val="19"/>
                <w:lang w:val="en-GB"/>
              </w:rPr>
              <w:t xml:space="preserve">, or identified </w:t>
            </w:r>
            <w:r w:rsidRPr="00EF191E">
              <w:rPr>
                <w:rFonts w:ascii="Calibri" w:hAnsi="Calibri" w:cs="Calibri"/>
                <w:sz w:val="19"/>
                <w:szCs w:val="19"/>
                <w:lang w:val="en-GB"/>
              </w:rPr>
              <w:t>breaches</w:t>
            </w:r>
            <w:r>
              <w:rPr>
                <w:rFonts w:ascii="Calibri" w:hAnsi="Calibri" w:cs="Calibri"/>
                <w:sz w:val="19"/>
                <w:szCs w:val="19"/>
                <w:lang w:val="en-GB"/>
              </w:rPr>
              <w:t>.</w:t>
            </w:r>
          </w:p>
          <w:p w14:paraId="6146F51B" w14:textId="77777777" w:rsidR="00812A7A" w:rsidRDefault="00812A7A" w:rsidP="00812A7A">
            <w:pPr>
              <w:numPr>
                <w:ilvl w:val="0"/>
                <w:numId w:val="12"/>
              </w:numPr>
              <w:spacing w:after="0" w:line="240" w:lineRule="auto"/>
              <w:rPr>
                <w:rFonts w:ascii="Calibri" w:hAnsi="Calibri" w:cs="Calibri"/>
                <w:sz w:val="19"/>
                <w:szCs w:val="19"/>
                <w:lang w:val="en-GB"/>
              </w:rPr>
            </w:pPr>
            <w:r w:rsidRPr="00EF191E">
              <w:rPr>
                <w:rFonts w:ascii="Calibri" w:hAnsi="Calibri" w:cs="Calibri"/>
                <w:sz w:val="19"/>
                <w:szCs w:val="19"/>
                <w:lang w:val="en-GB"/>
              </w:rPr>
              <w:t>Engag</w:t>
            </w:r>
            <w:r>
              <w:rPr>
                <w:rFonts w:ascii="Calibri" w:hAnsi="Calibri" w:cs="Calibri"/>
                <w:sz w:val="19"/>
                <w:szCs w:val="19"/>
                <w:lang w:val="en-GB"/>
              </w:rPr>
              <w:t>ing</w:t>
            </w:r>
            <w:r w:rsidRPr="00EF191E">
              <w:rPr>
                <w:rFonts w:ascii="Calibri" w:hAnsi="Calibri" w:cs="Calibri"/>
                <w:sz w:val="19"/>
                <w:szCs w:val="19"/>
                <w:lang w:val="en-GB"/>
              </w:rPr>
              <w:t xml:space="preserve"> stakeholders to devise specifica</w:t>
            </w:r>
            <w:r w:rsidRPr="00EF191E">
              <w:rPr>
                <w:rFonts w:ascii="Calibri" w:eastAsia="Calibri" w:hAnsi="Calibri" w:cs="Calibri"/>
                <w:sz w:val="19"/>
                <w:szCs w:val="19"/>
                <w:lang w:val="en-GB"/>
              </w:rPr>
              <w:t>ti</w:t>
            </w:r>
            <w:r w:rsidRPr="00EF191E">
              <w:rPr>
                <w:rFonts w:ascii="Calibri" w:hAnsi="Calibri" w:cs="Calibri"/>
                <w:sz w:val="19"/>
                <w:szCs w:val="19"/>
                <w:lang w:val="en-GB"/>
              </w:rPr>
              <w:t>ons, KPIs and other instruments to encourage suppliers to prevent, detect and eradicate breaches</w:t>
            </w:r>
            <w:r>
              <w:rPr>
                <w:rFonts w:ascii="Calibri" w:hAnsi="Calibri" w:cs="Calibri"/>
                <w:sz w:val="19"/>
                <w:szCs w:val="19"/>
                <w:lang w:val="en-GB"/>
              </w:rPr>
              <w:t xml:space="preserve"> </w:t>
            </w:r>
            <w:r w:rsidRPr="00EF191E">
              <w:rPr>
                <w:rFonts w:ascii="Calibri" w:hAnsi="Calibri" w:cs="Calibri"/>
                <w:sz w:val="19"/>
                <w:szCs w:val="19"/>
                <w:lang w:val="en-GB"/>
              </w:rPr>
              <w:t>of ethical standards</w:t>
            </w:r>
            <w:r>
              <w:rPr>
                <w:rFonts w:ascii="Calibri" w:hAnsi="Calibri" w:cs="Calibri"/>
                <w:sz w:val="19"/>
                <w:szCs w:val="19"/>
                <w:lang w:val="en-GB"/>
              </w:rPr>
              <w:t xml:space="preserve"> (Social Procurement outcomes such as SOCI, Modern Slavery, Local Jobs First, Diversity &amp; Inclusion, Gender equality, Tradition Owner engagement).</w:t>
            </w:r>
          </w:p>
          <w:p w14:paraId="3567C390" w14:textId="1EB5BDC6" w:rsidR="00812A7A" w:rsidRDefault="00812A7A" w:rsidP="00812A7A">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Provide guidance, and work with the Procurement &amp; Tender Administrator in tender and documentation management and supplier engagement.</w:t>
            </w:r>
          </w:p>
          <w:p w14:paraId="294F31E4" w14:textId="77777777" w:rsidR="00C41129" w:rsidRDefault="00C41129" w:rsidP="00C41129">
            <w:pPr>
              <w:spacing w:after="0" w:line="240" w:lineRule="auto"/>
              <w:rPr>
                <w:rFonts w:ascii="Calibri" w:hAnsi="Calibri" w:cs="Calibri"/>
                <w:sz w:val="19"/>
                <w:szCs w:val="19"/>
                <w:lang w:val="en-GB"/>
              </w:rPr>
            </w:pPr>
          </w:p>
          <w:p w14:paraId="497B4DF3" w14:textId="77777777" w:rsidR="00C41129" w:rsidRPr="00C41129" w:rsidRDefault="00C41129" w:rsidP="00C41129">
            <w:pPr>
              <w:spacing w:after="0" w:line="240" w:lineRule="auto"/>
              <w:rPr>
                <w:rFonts w:ascii="Calibri" w:hAnsi="Calibri" w:cs="Calibri"/>
                <w:sz w:val="19"/>
                <w:szCs w:val="19"/>
                <w:lang w:val="en-GB"/>
              </w:rPr>
            </w:pPr>
          </w:p>
          <w:p w14:paraId="68C63663" w14:textId="77777777" w:rsidR="00812A7A" w:rsidRPr="00A9707B" w:rsidRDefault="00812A7A" w:rsidP="00812A7A">
            <w:pPr>
              <w:spacing w:after="0" w:line="240" w:lineRule="auto"/>
              <w:rPr>
                <w:rFonts w:ascii="Calibri" w:hAnsi="Calibri" w:cs="Calibri"/>
                <w:sz w:val="19"/>
                <w:szCs w:val="19"/>
                <w:lang w:val="en-GB"/>
              </w:rPr>
            </w:pPr>
          </w:p>
        </w:tc>
        <w:tc>
          <w:tcPr>
            <w:tcW w:w="4113" w:type="dxa"/>
            <w:gridSpan w:val="4"/>
            <w:tcBorders>
              <w:top w:val="single" w:sz="4" w:space="0" w:color="00428B" w:themeColor="accent1"/>
              <w:left w:val="single" w:sz="4" w:space="0" w:color="00428B" w:themeColor="accent1"/>
              <w:bottom w:val="single" w:sz="4" w:space="0" w:color="00428B"/>
              <w:right w:val="single" w:sz="6" w:space="0" w:color="00428B" w:themeColor="accent1"/>
            </w:tcBorders>
          </w:tcPr>
          <w:p w14:paraId="34A2CD71" w14:textId="1A164387" w:rsidR="00CB2B67" w:rsidRPr="00F07097" w:rsidRDefault="00CB2B67" w:rsidP="00F07097">
            <w:pPr>
              <w:numPr>
                <w:ilvl w:val="0"/>
                <w:numId w:val="12"/>
              </w:numPr>
              <w:tabs>
                <w:tab w:val="clear" w:pos="360"/>
                <w:tab w:val="num" w:pos="720"/>
              </w:tabs>
              <w:spacing w:after="0" w:line="240" w:lineRule="auto"/>
              <w:ind w:left="283" w:hanging="141"/>
              <w:rPr>
                <w:rFonts w:ascii="Calibri" w:hAnsi="Calibri" w:cs="Calibri"/>
                <w:sz w:val="19"/>
                <w:szCs w:val="19"/>
                <w:lang w:val="en-GB"/>
              </w:rPr>
            </w:pPr>
            <w:r>
              <w:rPr>
                <w:rFonts w:ascii="Calibri" w:hAnsi="Calibri" w:cs="Calibri"/>
                <w:sz w:val="19"/>
                <w:szCs w:val="19"/>
                <w:lang w:val="en-GB"/>
              </w:rPr>
              <w:t>Tertiary qualifications in procurement, business, commerce, law or related discipline would be highly regarded</w:t>
            </w:r>
          </w:p>
          <w:p w14:paraId="117E556C" w14:textId="2B55FE12" w:rsid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Pr>
                <w:rFonts w:ascii="Calibri" w:hAnsi="Calibri" w:cs="Calibri"/>
                <w:sz w:val="19"/>
                <w:szCs w:val="19"/>
                <w:lang w:val="en-GB"/>
              </w:rPr>
              <w:t>Demonstrated ability to undertake end-to-end sourcing activities with cross-functional input</w:t>
            </w:r>
            <w:r w:rsidR="00CB2B67">
              <w:rPr>
                <w:rFonts w:ascii="Calibri" w:hAnsi="Calibri" w:cs="Calibri"/>
                <w:sz w:val="19"/>
                <w:szCs w:val="19"/>
                <w:lang w:val="en-GB"/>
              </w:rPr>
              <w:t xml:space="preserve"> with knowledge of Victorian Government Purchasing Board framework and Ministerial Directions.</w:t>
            </w:r>
          </w:p>
          <w:p w14:paraId="369FB8EC" w14:textId="77777777" w:rsid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sidRPr="00411EFE">
              <w:rPr>
                <w:rFonts w:ascii="Calibri" w:hAnsi="Calibri" w:cs="Calibri"/>
                <w:sz w:val="19"/>
                <w:szCs w:val="19"/>
                <w:lang w:val="en-GB"/>
              </w:rPr>
              <w:t xml:space="preserve">Demonstrated communication skills across </w:t>
            </w:r>
            <w:r>
              <w:rPr>
                <w:rFonts w:ascii="Calibri" w:hAnsi="Calibri" w:cs="Calibri"/>
                <w:sz w:val="19"/>
                <w:szCs w:val="19"/>
                <w:lang w:val="en-GB"/>
              </w:rPr>
              <w:t>mid-to-</w:t>
            </w:r>
            <w:r w:rsidRPr="00411EFE">
              <w:rPr>
                <w:rFonts w:ascii="Calibri" w:hAnsi="Calibri" w:cs="Calibri"/>
                <w:sz w:val="19"/>
                <w:szCs w:val="19"/>
                <w:lang w:val="en-GB"/>
              </w:rPr>
              <w:t>senior stakeholders and vendor environments.</w:t>
            </w:r>
          </w:p>
          <w:p w14:paraId="1AA9F39F" w14:textId="06E6BBB6" w:rsidR="00F07097" w:rsidRDefault="00F07097"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Pr>
                <w:rFonts w:ascii="Calibri" w:hAnsi="Calibri" w:cs="Calibri"/>
                <w:sz w:val="19"/>
                <w:szCs w:val="19"/>
                <w:lang w:val="en-GB"/>
              </w:rPr>
              <w:t>Strong understanding of procurement governance, probity, risk management and legislative compliance</w:t>
            </w:r>
          </w:p>
          <w:p w14:paraId="37F10485" w14:textId="77777777" w:rsid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Pr>
                <w:rFonts w:ascii="Calibri" w:hAnsi="Calibri" w:cs="Calibri"/>
                <w:sz w:val="19"/>
                <w:szCs w:val="19"/>
                <w:lang w:val="en-GB"/>
              </w:rPr>
              <w:t>Strong understanding of contractual terms, and negotiating levers.</w:t>
            </w:r>
          </w:p>
          <w:p w14:paraId="344720F5" w14:textId="13CFA1D3" w:rsidR="00812A7A" w:rsidRPr="005065DD" w:rsidRDefault="00812A7A" w:rsidP="00CB2B67">
            <w:pPr>
              <w:spacing w:after="0" w:line="240" w:lineRule="auto"/>
              <w:ind w:left="142"/>
              <w:rPr>
                <w:rFonts w:ascii="Calibri" w:hAnsi="Calibri" w:cs="Calibri"/>
                <w:sz w:val="19"/>
                <w:szCs w:val="19"/>
                <w:lang w:val="en-GB"/>
              </w:rPr>
            </w:pPr>
          </w:p>
        </w:tc>
      </w:tr>
      <w:tr w:rsidR="00812A7A" w:rsidRPr="0066566F" w14:paraId="6A9F2068" w14:textId="77777777" w:rsidTr="003333A4">
        <w:trPr>
          <w:trHeight w:val="170"/>
        </w:trPr>
        <w:tc>
          <w:tcPr>
            <w:tcW w:w="11612" w:type="dxa"/>
            <w:gridSpan w:val="7"/>
            <w:tcBorders>
              <w:top w:val="single" w:sz="4" w:space="0" w:color="00428B" w:themeColor="accent1"/>
              <w:left w:val="single" w:sz="6" w:space="0" w:color="00428B" w:themeColor="accent1"/>
              <w:bottom w:val="single" w:sz="6" w:space="0" w:color="00428B" w:themeColor="accent1"/>
              <w:right w:val="single" w:sz="4" w:space="0" w:color="00428B" w:themeColor="accent1"/>
            </w:tcBorders>
            <w:shd w:val="clear" w:color="auto" w:fill="00428B" w:themeFill="text2"/>
            <w:tcMar>
              <w:top w:w="72" w:type="dxa"/>
              <w:left w:w="133" w:type="dxa"/>
              <w:bottom w:w="72" w:type="dxa"/>
              <w:right w:w="133" w:type="dxa"/>
            </w:tcMar>
            <w:vAlign w:val="center"/>
            <w:hideMark/>
          </w:tcPr>
          <w:p w14:paraId="452C29F8" w14:textId="77777777" w:rsidR="00812A7A" w:rsidRPr="00A04B61" w:rsidRDefault="00812A7A" w:rsidP="00812A7A">
            <w:pPr>
              <w:spacing w:after="0" w:line="240" w:lineRule="auto"/>
              <w:rPr>
                <w:rFonts w:ascii="Calibri" w:hAnsi="Calibri" w:cs="Calibri"/>
                <w:color w:val="FFFFFF" w:themeColor="background1"/>
                <w:sz w:val="20"/>
                <w:szCs w:val="20"/>
              </w:rPr>
            </w:pPr>
            <w:r w:rsidRPr="00A04B61">
              <w:rPr>
                <w:rFonts w:ascii="Calibri" w:hAnsi="Calibri" w:cs="Calibri"/>
                <w:b/>
                <w:bCs/>
                <w:color w:val="FFFFFF" w:themeColor="background1"/>
                <w:sz w:val="20"/>
                <w:szCs w:val="20"/>
              </w:rPr>
              <w:lastRenderedPageBreak/>
              <w:t>Key shared accountabilities</w:t>
            </w:r>
          </w:p>
        </w:tc>
        <w:tc>
          <w:tcPr>
            <w:tcW w:w="4113" w:type="dxa"/>
            <w:gridSpan w:val="4"/>
            <w:tcBorders>
              <w:top w:val="single" w:sz="4" w:space="0" w:color="00428B"/>
              <w:left w:val="single" w:sz="4" w:space="0" w:color="00428B" w:themeColor="accent1"/>
              <w:bottom w:val="single" w:sz="6" w:space="0" w:color="00428B" w:themeColor="accent1"/>
              <w:right w:val="single" w:sz="6" w:space="0" w:color="00428B" w:themeColor="accent1"/>
            </w:tcBorders>
            <w:shd w:val="clear" w:color="auto" w:fill="DAF2F7" w:themeFill="accent3" w:themeFillTint="33"/>
          </w:tcPr>
          <w:p w14:paraId="4A52EEC7" w14:textId="77777777" w:rsidR="00812A7A" w:rsidRPr="00E467BF" w:rsidRDefault="00812A7A" w:rsidP="00812A7A">
            <w:pPr>
              <w:tabs>
                <w:tab w:val="num" w:pos="720"/>
              </w:tabs>
              <w:spacing w:after="0" w:line="240" w:lineRule="auto"/>
              <w:jc w:val="center"/>
              <w:rPr>
                <w:rFonts w:ascii="Calibri" w:hAnsi="Calibri" w:cs="Calibri"/>
                <w:b/>
                <w:bCs/>
                <w:sz w:val="19"/>
                <w:szCs w:val="19"/>
              </w:rPr>
            </w:pPr>
            <w:r w:rsidRPr="00E467BF">
              <w:rPr>
                <w:rFonts w:ascii="Calibri" w:hAnsi="Calibri" w:cs="Calibri"/>
                <w:b/>
                <w:bCs/>
                <w:sz w:val="19"/>
                <w:szCs w:val="19"/>
              </w:rPr>
              <w:t xml:space="preserve">Technical capability </w:t>
            </w:r>
          </w:p>
        </w:tc>
      </w:tr>
      <w:tr w:rsidR="00812A7A" w:rsidRPr="0066566F" w14:paraId="2EB1A645" w14:textId="77777777" w:rsidTr="003333A4">
        <w:trPr>
          <w:trHeight w:val="1251"/>
        </w:trPr>
        <w:tc>
          <w:tcPr>
            <w:tcW w:w="11612" w:type="dxa"/>
            <w:gridSpan w:val="7"/>
            <w:tcBorders>
              <w:top w:val="single" w:sz="6" w:space="0" w:color="00428B" w:themeColor="accent1"/>
              <w:left w:val="single" w:sz="6" w:space="0" w:color="00428B" w:themeColor="accent1"/>
              <w:bottom w:val="single" w:sz="6" w:space="0" w:color="00428B" w:themeColor="accent1"/>
              <w:right w:val="single" w:sz="4" w:space="0" w:color="00428B"/>
            </w:tcBorders>
            <w:tcMar>
              <w:top w:w="72" w:type="dxa"/>
              <w:left w:w="133" w:type="dxa"/>
              <w:bottom w:w="72" w:type="dxa"/>
              <w:right w:w="133" w:type="dxa"/>
            </w:tcMar>
            <w:hideMark/>
          </w:tcPr>
          <w:p w14:paraId="75AB26FF" w14:textId="77777777" w:rsidR="00812A7A" w:rsidRPr="00812A7A" w:rsidRDefault="00812A7A" w:rsidP="00812A7A">
            <w:pPr>
              <w:numPr>
                <w:ilvl w:val="0"/>
                <w:numId w:val="12"/>
              </w:numPr>
              <w:tabs>
                <w:tab w:val="clear" w:pos="360"/>
                <w:tab w:val="num" w:pos="1440"/>
              </w:tabs>
              <w:spacing w:after="0" w:line="240" w:lineRule="auto"/>
              <w:ind w:left="144" w:hanging="144"/>
              <w:rPr>
                <w:rFonts w:ascii="Calibri" w:hAnsi="Calibri" w:cs="Calibri"/>
                <w:sz w:val="20"/>
                <w:szCs w:val="20"/>
                <w:lang w:val="en-GB"/>
              </w:rPr>
            </w:pPr>
            <w:r w:rsidRPr="00812A7A">
              <w:rPr>
                <w:rFonts w:ascii="Calibri" w:hAnsi="Calibri" w:cs="Calibri"/>
                <w:b/>
                <w:sz w:val="19"/>
                <w:szCs w:val="19"/>
                <w:lang w:val="en-GB"/>
              </w:rPr>
              <w:t>Our People:</w:t>
            </w:r>
            <w:r w:rsidRPr="00812A7A">
              <w:rPr>
                <w:rFonts w:ascii="Calibri" w:hAnsi="Calibri" w:cs="Calibri"/>
                <w:i/>
                <w:sz w:val="19"/>
                <w:szCs w:val="19"/>
                <w:lang w:val="en-GB"/>
              </w:rPr>
              <w:t xml:space="preserve"> Engagement Scores, NNWW, </w:t>
            </w:r>
            <w:r w:rsidRPr="00812A7A">
              <w:rPr>
                <w:rFonts w:ascii="Calibri" w:hAnsi="Calibri" w:cs="Calibri"/>
                <w:i/>
                <w:sz w:val="20"/>
                <w:szCs w:val="20"/>
                <w:lang w:val="en-GB"/>
              </w:rPr>
              <w:t>role model MW values &amp; behaviours</w:t>
            </w:r>
          </w:p>
          <w:p w14:paraId="4203F016" w14:textId="77777777" w:rsidR="00812A7A" w:rsidRPr="00812A7A" w:rsidRDefault="00812A7A" w:rsidP="00812A7A">
            <w:pPr>
              <w:numPr>
                <w:ilvl w:val="0"/>
                <w:numId w:val="12"/>
              </w:numPr>
              <w:tabs>
                <w:tab w:val="clear" w:pos="360"/>
                <w:tab w:val="num" w:pos="1440"/>
              </w:tabs>
              <w:spacing w:after="0" w:line="240" w:lineRule="auto"/>
              <w:ind w:left="144" w:hanging="144"/>
              <w:rPr>
                <w:rFonts w:ascii="Calibri" w:hAnsi="Calibri" w:cs="Calibri"/>
                <w:i/>
                <w:sz w:val="19"/>
                <w:szCs w:val="19"/>
                <w:lang w:val="en-GB"/>
              </w:rPr>
            </w:pPr>
            <w:r w:rsidRPr="00812A7A">
              <w:rPr>
                <w:rFonts w:ascii="Calibri" w:hAnsi="Calibri" w:cs="Calibri"/>
                <w:b/>
                <w:sz w:val="19"/>
                <w:szCs w:val="19"/>
                <w:lang w:val="en-GB"/>
              </w:rPr>
              <w:t xml:space="preserve">Financial Sustainability: </w:t>
            </w:r>
            <w:r w:rsidRPr="00812A7A">
              <w:rPr>
                <w:rFonts w:ascii="Calibri" w:hAnsi="Calibri" w:cs="Calibri"/>
                <w:i/>
                <w:sz w:val="19"/>
                <w:szCs w:val="19"/>
                <w:lang w:val="en-GB"/>
              </w:rPr>
              <w:t>Overall MW Budget and Business plan (where applicable)</w:t>
            </w:r>
          </w:p>
          <w:p w14:paraId="2C1E41C1" w14:textId="77777777" w:rsidR="00812A7A" w:rsidRPr="00812A7A" w:rsidRDefault="00812A7A" w:rsidP="00812A7A">
            <w:pPr>
              <w:numPr>
                <w:ilvl w:val="0"/>
                <w:numId w:val="12"/>
              </w:numPr>
              <w:tabs>
                <w:tab w:val="clear" w:pos="360"/>
                <w:tab w:val="num" w:pos="1440"/>
              </w:tabs>
              <w:spacing w:after="0" w:line="240" w:lineRule="auto"/>
              <w:ind w:left="144" w:hanging="144"/>
              <w:rPr>
                <w:rFonts w:ascii="Calibri" w:hAnsi="Calibri" w:cs="Calibri"/>
                <w:i/>
                <w:sz w:val="19"/>
                <w:szCs w:val="19"/>
                <w:lang w:val="en-GB"/>
              </w:rPr>
            </w:pPr>
            <w:r w:rsidRPr="00812A7A">
              <w:rPr>
                <w:rFonts w:ascii="Calibri" w:hAnsi="Calibri" w:cs="Calibri"/>
                <w:b/>
                <w:sz w:val="19"/>
                <w:szCs w:val="19"/>
                <w:lang w:val="en-GB"/>
              </w:rPr>
              <w:t xml:space="preserve">Customer and Community: </w:t>
            </w:r>
            <w:r w:rsidRPr="00812A7A">
              <w:rPr>
                <w:rFonts w:ascii="Calibri" w:hAnsi="Calibri" w:cs="Calibri"/>
                <w:i/>
                <w:sz w:val="19"/>
                <w:szCs w:val="19"/>
                <w:lang w:val="en-GB"/>
              </w:rPr>
              <w:t>Divisions internal NPS score as a service; Overall MW Customer Satisfaction and Reputation Scores (where applicable)</w:t>
            </w:r>
          </w:p>
          <w:p w14:paraId="1FCD40B6" w14:textId="77777777" w:rsidR="00812A7A" w:rsidRPr="00812A7A" w:rsidRDefault="00812A7A" w:rsidP="00812A7A">
            <w:pPr>
              <w:numPr>
                <w:ilvl w:val="0"/>
                <w:numId w:val="12"/>
              </w:numPr>
              <w:tabs>
                <w:tab w:val="clear" w:pos="360"/>
                <w:tab w:val="num" w:pos="1440"/>
              </w:tabs>
              <w:spacing w:after="0" w:line="240" w:lineRule="auto"/>
              <w:ind w:left="144" w:hanging="144"/>
              <w:rPr>
                <w:rFonts w:ascii="Calibri" w:hAnsi="Calibri" w:cs="Calibri"/>
                <w:sz w:val="19"/>
                <w:szCs w:val="19"/>
              </w:rPr>
            </w:pPr>
            <w:r w:rsidRPr="00812A7A">
              <w:rPr>
                <w:rFonts w:ascii="Calibri" w:hAnsi="Calibri" w:cs="Calibri"/>
                <w:b/>
                <w:sz w:val="19"/>
                <w:szCs w:val="19"/>
              </w:rPr>
              <w:t>Safety Leadership:</w:t>
            </w:r>
            <w:r w:rsidRPr="00812A7A">
              <w:rPr>
                <w:rFonts w:ascii="Calibri" w:hAnsi="Calibri" w:cs="Calibri"/>
                <w:i/>
                <w:sz w:val="19"/>
                <w:szCs w:val="19"/>
              </w:rPr>
              <w:t xml:space="preserve">  Safety Scores from C&amp;E survey</w:t>
            </w:r>
          </w:p>
          <w:p w14:paraId="2038576B" w14:textId="77777777" w:rsidR="00812A7A" w:rsidRPr="00812A7A" w:rsidRDefault="00812A7A" w:rsidP="00812A7A">
            <w:pPr>
              <w:numPr>
                <w:ilvl w:val="0"/>
                <w:numId w:val="12"/>
              </w:numPr>
              <w:tabs>
                <w:tab w:val="clear" w:pos="360"/>
                <w:tab w:val="num" w:pos="1440"/>
              </w:tabs>
              <w:spacing w:after="0" w:line="240" w:lineRule="auto"/>
              <w:ind w:left="144" w:hanging="144"/>
              <w:rPr>
                <w:rFonts w:ascii="Calibri" w:hAnsi="Calibri" w:cs="Calibri"/>
                <w:i/>
                <w:sz w:val="19"/>
                <w:szCs w:val="19"/>
              </w:rPr>
            </w:pPr>
            <w:r w:rsidRPr="00812A7A">
              <w:rPr>
                <w:rFonts w:ascii="Calibri" w:hAnsi="Calibri" w:cs="Calibri"/>
                <w:b/>
                <w:sz w:val="19"/>
                <w:szCs w:val="19"/>
              </w:rPr>
              <w:t>Vision and Purpose:</w:t>
            </w:r>
            <w:r w:rsidRPr="00812A7A">
              <w:rPr>
                <w:rFonts w:ascii="Calibri" w:hAnsi="Calibri" w:cs="Calibri"/>
                <w:sz w:val="19"/>
                <w:szCs w:val="19"/>
              </w:rPr>
              <w:t xml:space="preserve"> </w:t>
            </w:r>
            <w:r w:rsidRPr="00812A7A">
              <w:rPr>
                <w:rFonts w:ascii="Calibri" w:hAnsi="Calibri" w:cs="Calibri"/>
                <w:i/>
                <w:sz w:val="19"/>
                <w:szCs w:val="19"/>
              </w:rPr>
              <w:t>Communicates and inspires a shared Team vision and strategic direction</w:t>
            </w:r>
          </w:p>
          <w:p w14:paraId="2C7E5A6C" w14:textId="77777777" w:rsidR="00812A7A" w:rsidRPr="00812A7A" w:rsidRDefault="00812A7A" w:rsidP="00812A7A">
            <w:pPr>
              <w:numPr>
                <w:ilvl w:val="0"/>
                <w:numId w:val="12"/>
              </w:numPr>
              <w:tabs>
                <w:tab w:val="clear" w:pos="360"/>
                <w:tab w:val="num" w:pos="1440"/>
              </w:tabs>
              <w:spacing w:after="0" w:line="240" w:lineRule="auto"/>
              <w:ind w:left="144" w:hanging="144"/>
              <w:rPr>
                <w:rFonts w:ascii="Calibri" w:hAnsi="Calibri" w:cs="Calibri"/>
                <w:sz w:val="19"/>
                <w:szCs w:val="19"/>
              </w:rPr>
            </w:pPr>
            <w:r w:rsidRPr="00812A7A">
              <w:rPr>
                <w:rFonts w:ascii="Calibri" w:hAnsi="Calibri" w:cs="Calibri"/>
                <w:b/>
                <w:sz w:val="19"/>
                <w:szCs w:val="19"/>
              </w:rPr>
              <w:t>Risk:</w:t>
            </w:r>
            <w:r w:rsidRPr="00812A7A">
              <w:rPr>
                <w:rFonts w:ascii="Calibri" w:hAnsi="Calibri" w:cs="Calibri"/>
                <w:sz w:val="19"/>
                <w:szCs w:val="19"/>
              </w:rPr>
              <w:t xml:space="preserve"> </w:t>
            </w:r>
            <w:r w:rsidRPr="00812A7A">
              <w:rPr>
                <w:rFonts w:ascii="Calibri" w:hAnsi="Calibri" w:cs="Calibri"/>
                <w:i/>
                <w:sz w:val="19"/>
                <w:szCs w:val="19"/>
              </w:rPr>
              <w:t>Ensures proactive oversight, governance and assessment of risk management consistent with the Risk Management framework.</w:t>
            </w:r>
          </w:p>
        </w:tc>
        <w:tc>
          <w:tcPr>
            <w:tcW w:w="4113" w:type="dxa"/>
            <w:gridSpan w:val="4"/>
            <w:vMerge w:val="restart"/>
            <w:tcBorders>
              <w:top w:val="single" w:sz="6" w:space="0" w:color="00428B" w:themeColor="accent1"/>
              <w:left w:val="single" w:sz="4" w:space="0" w:color="00428B"/>
              <w:right w:val="single" w:sz="6" w:space="0" w:color="00428B" w:themeColor="accent1"/>
            </w:tcBorders>
          </w:tcPr>
          <w:p w14:paraId="065F9DB5" w14:textId="77777777" w:rsidR="00812A7A" w:rsidRP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sidRPr="00812A7A">
              <w:rPr>
                <w:rFonts w:ascii="Calibri" w:hAnsi="Calibri" w:cs="Calibri"/>
                <w:sz w:val="19"/>
                <w:szCs w:val="19"/>
                <w:lang w:val="en-GB"/>
              </w:rPr>
              <w:t>Knowledge of Victorian Government Procurement policies, and frameworks;</w:t>
            </w:r>
          </w:p>
          <w:p w14:paraId="1D31CC46" w14:textId="77777777" w:rsidR="00812A7A" w:rsidRP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sidRPr="00812A7A">
              <w:rPr>
                <w:rFonts w:ascii="Calibri" w:hAnsi="Calibri" w:cs="Calibri"/>
                <w:sz w:val="19"/>
                <w:szCs w:val="19"/>
                <w:lang w:val="en-GB"/>
              </w:rPr>
              <w:t xml:space="preserve">Knowledge in Zycus e-procurement platform or similar product. </w:t>
            </w:r>
          </w:p>
          <w:p w14:paraId="1A7650A8" w14:textId="77777777" w:rsidR="00812A7A" w:rsidRP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sidRPr="00812A7A">
              <w:rPr>
                <w:rFonts w:ascii="Calibri" w:hAnsi="Calibri" w:cs="Calibri"/>
                <w:sz w:val="19"/>
                <w:szCs w:val="19"/>
                <w:lang w:val="en-GB"/>
              </w:rPr>
              <w:t>Expertise in sourcing process administration, and management.</w:t>
            </w:r>
          </w:p>
          <w:p w14:paraId="4800EB7D" w14:textId="77777777" w:rsidR="00812A7A" w:rsidRP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sidRPr="00812A7A">
              <w:rPr>
                <w:rFonts w:ascii="Calibri" w:hAnsi="Calibri" w:cs="Calibri"/>
                <w:sz w:val="19"/>
                <w:szCs w:val="19"/>
                <w:lang w:val="en-GB"/>
              </w:rPr>
              <w:t xml:space="preserve">Commercial evaluation and analytical skills.  </w:t>
            </w:r>
          </w:p>
          <w:p w14:paraId="6656E590" w14:textId="77777777" w:rsidR="00812A7A" w:rsidRPr="00812A7A" w:rsidRDefault="00812A7A" w:rsidP="00812A7A">
            <w:pPr>
              <w:numPr>
                <w:ilvl w:val="0"/>
                <w:numId w:val="12"/>
              </w:numPr>
              <w:tabs>
                <w:tab w:val="clear" w:pos="360"/>
                <w:tab w:val="num" w:pos="720"/>
              </w:tabs>
              <w:spacing w:after="0" w:line="240" w:lineRule="auto"/>
              <w:ind w:left="283" w:hanging="141"/>
              <w:rPr>
                <w:rFonts w:ascii="Calibri" w:hAnsi="Calibri" w:cs="Calibri"/>
                <w:sz w:val="19"/>
                <w:szCs w:val="19"/>
                <w:lang w:val="en-GB"/>
              </w:rPr>
            </w:pPr>
            <w:r w:rsidRPr="00812A7A">
              <w:rPr>
                <w:rFonts w:ascii="Calibri" w:hAnsi="Calibri" w:cs="Calibri"/>
                <w:sz w:val="19"/>
                <w:szCs w:val="19"/>
                <w:lang w:val="en-GB"/>
              </w:rPr>
              <w:t>Exceptional Workplace systems literacy (Office 365 suite, Adobe Pro, DocuSign).</w:t>
            </w:r>
          </w:p>
        </w:tc>
      </w:tr>
      <w:tr w:rsidR="00812A7A" w:rsidRPr="0066566F" w14:paraId="4C6FDA98" w14:textId="77777777" w:rsidTr="003333A4">
        <w:trPr>
          <w:trHeight w:val="170"/>
        </w:trPr>
        <w:tc>
          <w:tcPr>
            <w:tcW w:w="5806" w:type="dxa"/>
            <w:gridSpan w:val="2"/>
            <w:tcBorders>
              <w:top w:val="single" w:sz="6" w:space="0" w:color="00428B" w:themeColor="accent1"/>
              <w:left w:val="single" w:sz="6" w:space="0" w:color="00428B" w:themeColor="accent1"/>
              <w:bottom w:val="single" w:sz="4" w:space="0" w:color="00428B" w:themeColor="accent1"/>
              <w:right w:val="single" w:sz="4" w:space="0" w:color="00428B" w:themeColor="accent1"/>
            </w:tcBorders>
            <w:shd w:val="clear" w:color="auto" w:fill="DAF2F7" w:themeFill="accent3" w:themeFillTint="33"/>
            <w:tcMar>
              <w:top w:w="72" w:type="dxa"/>
              <w:left w:w="133" w:type="dxa"/>
              <w:bottom w:w="72" w:type="dxa"/>
              <w:right w:w="133" w:type="dxa"/>
            </w:tcMar>
            <w:hideMark/>
          </w:tcPr>
          <w:p w14:paraId="7044808D" w14:textId="77777777" w:rsidR="00812A7A" w:rsidRPr="00E467BF" w:rsidRDefault="00812A7A" w:rsidP="00812A7A">
            <w:pPr>
              <w:tabs>
                <w:tab w:val="num" w:pos="720"/>
              </w:tabs>
              <w:spacing w:after="0" w:line="240" w:lineRule="auto"/>
              <w:jc w:val="center"/>
              <w:rPr>
                <w:rFonts w:ascii="Calibri" w:hAnsi="Calibri" w:cs="Calibri"/>
                <w:b/>
                <w:bCs/>
                <w:sz w:val="19"/>
                <w:szCs w:val="19"/>
              </w:rPr>
            </w:pPr>
            <w:r w:rsidRPr="00E467BF">
              <w:rPr>
                <w:rFonts w:ascii="Calibri" w:hAnsi="Calibri" w:cs="Calibri"/>
                <w:b/>
                <w:bCs/>
                <w:sz w:val="19"/>
                <w:szCs w:val="19"/>
              </w:rPr>
              <w:t>Decision Rights – owns</w:t>
            </w:r>
          </w:p>
        </w:tc>
        <w:tc>
          <w:tcPr>
            <w:tcW w:w="5806" w:type="dxa"/>
            <w:gridSpan w:val="5"/>
            <w:tcBorders>
              <w:top w:val="single" w:sz="6" w:space="0" w:color="00428B" w:themeColor="accent1"/>
              <w:left w:val="single" w:sz="4" w:space="0" w:color="00428B" w:themeColor="accent1"/>
              <w:bottom w:val="single" w:sz="4" w:space="0" w:color="00428B" w:themeColor="accent1"/>
              <w:right w:val="single" w:sz="4" w:space="0" w:color="00428B"/>
            </w:tcBorders>
            <w:shd w:val="clear" w:color="auto" w:fill="DAF2F7" w:themeFill="accent3" w:themeFillTint="33"/>
            <w:tcMar>
              <w:top w:w="72" w:type="dxa"/>
              <w:left w:w="133" w:type="dxa"/>
              <w:bottom w:w="72" w:type="dxa"/>
              <w:right w:w="133" w:type="dxa"/>
            </w:tcMar>
            <w:hideMark/>
          </w:tcPr>
          <w:p w14:paraId="0F04991C" w14:textId="77777777" w:rsidR="00812A7A" w:rsidRPr="00E467BF" w:rsidRDefault="00812A7A" w:rsidP="00812A7A">
            <w:pPr>
              <w:tabs>
                <w:tab w:val="num" w:pos="720"/>
              </w:tabs>
              <w:spacing w:after="0" w:line="240" w:lineRule="auto"/>
              <w:jc w:val="center"/>
              <w:rPr>
                <w:rFonts w:ascii="Calibri" w:hAnsi="Calibri" w:cs="Calibri"/>
                <w:b/>
                <w:bCs/>
                <w:sz w:val="19"/>
                <w:szCs w:val="19"/>
              </w:rPr>
            </w:pPr>
            <w:r w:rsidRPr="00E467BF">
              <w:rPr>
                <w:rFonts w:ascii="Calibri" w:hAnsi="Calibri" w:cs="Calibri"/>
                <w:b/>
                <w:bCs/>
                <w:sz w:val="19"/>
                <w:szCs w:val="19"/>
              </w:rPr>
              <w:t>Decision Rights - influences</w:t>
            </w:r>
          </w:p>
        </w:tc>
        <w:tc>
          <w:tcPr>
            <w:tcW w:w="4113" w:type="dxa"/>
            <w:gridSpan w:val="4"/>
            <w:vMerge/>
            <w:tcBorders>
              <w:left w:val="single" w:sz="4" w:space="0" w:color="00428B"/>
              <w:right w:val="single" w:sz="6" w:space="0" w:color="00428B" w:themeColor="accent1"/>
            </w:tcBorders>
            <w:shd w:val="clear" w:color="auto" w:fill="DAF2F7" w:themeFill="accent3" w:themeFillTint="33"/>
          </w:tcPr>
          <w:p w14:paraId="3E7292A0" w14:textId="77777777" w:rsidR="00812A7A" w:rsidRPr="00E467BF" w:rsidRDefault="00812A7A" w:rsidP="00812A7A">
            <w:pPr>
              <w:tabs>
                <w:tab w:val="num" w:pos="720"/>
              </w:tabs>
              <w:spacing w:after="0" w:line="240" w:lineRule="auto"/>
              <w:jc w:val="center"/>
              <w:rPr>
                <w:rFonts w:ascii="Calibri" w:hAnsi="Calibri" w:cs="Calibri"/>
                <w:b/>
                <w:bCs/>
                <w:sz w:val="19"/>
                <w:szCs w:val="19"/>
              </w:rPr>
            </w:pPr>
          </w:p>
        </w:tc>
      </w:tr>
      <w:tr w:rsidR="00812A7A" w:rsidRPr="0066566F" w14:paraId="00A78656" w14:textId="77777777" w:rsidTr="003333A4">
        <w:trPr>
          <w:trHeight w:val="1121"/>
        </w:trPr>
        <w:tc>
          <w:tcPr>
            <w:tcW w:w="5806" w:type="dxa"/>
            <w:gridSpan w:val="2"/>
            <w:tcBorders>
              <w:top w:val="single" w:sz="4" w:space="0" w:color="00428B" w:themeColor="accent1"/>
              <w:left w:val="single" w:sz="6" w:space="0" w:color="00428B" w:themeColor="accent1"/>
              <w:bottom w:val="single" w:sz="4" w:space="0" w:color="00428B" w:themeColor="accent1"/>
              <w:right w:val="single" w:sz="4" w:space="0" w:color="00428B" w:themeColor="accent1"/>
            </w:tcBorders>
            <w:tcMar>
              <w:top w:w="72" w:type="dxa"/>
              <w:left w:w="133" w:type="dxa"/>
              <w:bottom w:w="72" w:type="dxa"/>
              <w:right w:w="133" w:type="dxa"/>
            </w:tcMar>
          </w:tcPr>
          <w:p w14:paraId="7A21C438" w14:textId="77777777" w:rsidR="00812A7A" w:rsidRPr="00812A7A" w:rsidRDefault="00812A7A" w:rsidP="00812A7A">
            <w:pPr>
              <w:numPr>
                <w:ilvl w:val="0"/>
                <w:numId w:val="12"/>
              </w:numPr>
              <w:spacing w:after="0" w:line="240" w:lineRule="auto"/>
              <w:rPr>
                <w:rFonts w:ascii="Calibri" w:hAnsi="Calibri" w:cs="Calibri"/>
                <w:sz w:val="19"/>
                <w:szCs w:val="19"/>
              </w:rPr>
            </w:pPr>
            <w:r w:rsidRPr="00812A7A">
              <w:rPr>
                <w:rFonts w:ascii="Calibri" w:hAnsi="Calibri" w:cs="Calibri"/>
                <w:sz w:val="19"/>
                <w:szCs w:val="19"/>
                <w:lang w:val="en-GB"/>
              </w:rPr>
              <w:t>Selection of approach to market options;</w:t>
            </w:r>
          </w:p>
          <w:p w14:paraId="7C7191B9" w14:textId="77777777" w:rsidR="00812A7A" w:rsidRPr="00812A7A" w:rsidRDefault="00812A7A" w:rsidP="00812A7A">
            <w:pPr>
              <w:numPr>
                <w:ilvl w:val="0"/>
                <w:numId w:val="12"/>
              </w:numPr>
              <w:spacing w:after="0" w:line="240" w:lineRule="auto"/>
              <w:rPr>
                <w:rFonts w:ascii="Calibri" w:hAnsi="Calibri" w:cs="Calibri"/>
                <w:sz w:val="19"/>
                <w:szCs w:val="19"/>
              </w:rPr>
            </w:pPr>
            <w:r w:rsidRPr="00812A7A">
              <w:rPr>
                <w:rFonts w:ascii="Calibri" w:hAnsi="Calibri" w:cs="Calibri"/>
                <w:sz w:val="19"/>
                <w:szCs w:val="19"/>
                <w:lang w:val="en-GB"/>
              </w:rPr>
              <w:t>Appropriate treatment of probity considerations;</w:t>
            </w:r>
          </w:p>
        </w:tc>
        <w:tc>
          <w:tcPr>
            <w:tcW w:w="5806" w:type="dxa"/>
            <w:gridSpan w:val="5"/>
            <w:tcBorders>
              <w:left w:val="single" w:sz="4" w:space="0" w:color="00428B" w:themeColor="accent1"/>
              <w:bottom w:val="single" w:sz="4" w:space="0" w:color="00428B" w:themeColor="accent1"/>
              <w:right w:val="single" w:sz="4" w:space="0" w:color="00428B"/>
            </w:tcBorders>
            <w:tcMar>
              <w:top w:w="72" w:type="dxa"/>
              <w:left w:w="133" w:type="dxa"/>
              <w:bottom w:w="72" w:type="dxa"/>
              <w:right w:w="133" w:type="dxa"/>
            </w:tcMar>
          </w:tcPr>
          <w:p w14:paraId="2BF0704D" w14:textId="77777777" w:rsidR="00812A7A" w:rsidRPr="00812A7A" w:rsidRDefault="00812A7A" w:rsidP="00812A7A">
            <w:pPr>
              <w:numPr>
                <w:ilvl w:val="0"/>
                <w:numId w:val="12"/>
              </w:numPr>
              <w:spacing w:after="0" w:line="240" w:lineRule="auto"/>
              <w:rPr>
                <w:rFonts w:ascii="Calibri" w:hAnsi="Calibri" w:cs="Calibri"/>
                <w:sz w:val="19"/>
                <w:szCs w:val="19"/>
                <w:lang w:val="en-GB"/>
              </w:rPr>
            </w:pPr>
            <w:r w:rsidRPr="00812A7A">
              <w:rPr>
                <w:rFonts w:ascii="Calibri" w:hAnsi="Calibri" w:cs="Calibri"/>
                <w:sz w:val="19"/>
                <w:szCs w:val="19"/>
                <w:lang w:val="en-GB"/>
              </w:rPr>
              <w:t xml:space="preserve">Sourcing Administrator resource allocation to sourcing events; </w:t>
            </w:r>
          </w:p>
          <w:p w14:paraId="42110AD2" w14:textId="77777777" w:rsidR="00812A7A" w:rsidRPr="00812A7A" w:rsidRDefault="00812A7A" w:rsidP="00812A7A">
            <w:pPr>
              <w:numPr>
                <w:ilvl w:val="0"/>
                <w:numId w:val="12"/>
              </w:numPr>
              <w:spacing w:after="0" w:line="240" w:lineRule="auto"/>
              <w:rPr>
                <w:rFonts w:ascii="Calibri" w:hAnsi="Calibri" w:cs="Calibri"/>
                <w:sz w:val="19"/>
                <w:szCs w:val="19"/>
                <w:lang w:val="en-GB"/>
              </w:rPr>
            </w:pPr>
            <w:r w:rsidRPr="00812A7A">
              <w:rPr>
                <w:rFonts w:ascii="Calibri" w:hAnsi="Calibri" w:cs="Calibri"/>
                <w:sz w:val="19"/>
                <w:szCs w:val="19"/>
                <w:lang w:val="en-GB"/>
              </w:rPr>
              <w:t>Feedback informing future category management strategies;</w:t>
            </w:r>
          </w:p>
          <w:p w14:paraId="22D8F3C1" w14:textId="77777777" w:rsidR="00812A7A" w:rsidRPr="00812A7A" w:rsidRDefault="00812A7A" w:rsidP="00812A7A">
            <w:pPr>
              <w:numPr>
                <w:ilvl w:val="0"/>
                <w:numId w:val="12"/>
              </w:numPr>
              <w:spacing w:after="0" w:line="240" w:lineRule="auto"/>
              <w:rPr>
                <w:rFonts w:ascii="Calibri" w:hAnsi="Calibri" w:cs="Calibri"/>
                <w:sz w:val="19"/>
                <w:szCs w:val="19"/>
                <w:lang w:val="en-GB"/>
              </w:rPr>
            </w:pPr>
            <w:r w:rsidRPr="00812A7A">
              <w:rPr>
                <w:rFonts w:ascii="Calibri" w:hAnsi="Calibri" w:cs="Calibri"/>
                <w:sz w:val="19"/>
                <w:szCs w:val="19"/>
                <w:lang w:val="en-GB"/>
              </w:rPr>
              <w:t>Feedback look informing future contract management actions across sourcing portfolios.</w:t>
            </w:r>
          </w:p>
        </w:tc>
        <w:tc>
          <w:tcPr>
            <w:tcW w:w="4113" w:type="dxa"/>
            <w:gridSpan w:val="4"/>
            <w:vMerge/>
            <w:tcBorders>
              <w:left w:val="single" w:sz="4" w:space="0" w:color="00428B"/>
              <w:bottom w:val="single" w:sz="4" w:space="0" w:color="00428B" w:themeColor="accent1"/>
              <w:right w:val="single" w:sz="6" w:space="0" w:color="00428B" w:themeColor="accent1"/>
            </w:tcBorders>
          </w:tcPr>
          <w:p w14:paraId="780C084E" w14:textId="77777777" w:rsidR="00812A7A" w:rsidRPr="00E467BF" w:rsidRDefault="00812A7A" w:rsidP="00812A7A">
            <w:pPr>
              <w:spacing w:after="0" w:line="240" w:lineRule="auto"/>
              <w:rPr>
                <w:rFonts w:ascii="Calibri" w:hAnsi="Calibri" w:cs="Calibri"/>
                <w:sz w:val="19"/>
                <w:szCs w:val="19"/>
                <w:lang w:val="en-GB"/>
              </w:rPr>
            </w:pPr>
          </w:p>
        </w:tc>
      </w:tr>
    </w:tbl>
    <w:p w14:paraId="35D9373B" w14:textId="77777777" w:rsidR="00A04B61" w:rsidRDefault="00A04B61" w:rsidP="0066566F">
      <w:pPr>
        <w:pStyle w:val="BodyText"/>
        <w:spacing w:before="0" w:after="0"/>
        <w:rPr>
          <w:sz w:val="2"/>
          <w:szCs w:val="2"/>
        </w:rPr>
      </w:pPr>
    </w:p>
    <w:p w14:paraId="6928AFCB" w14:textId="77777777" w:rsidR="00A04B61" w:rsidRDefault="00A04B61">
      <w:pPr>
        <w:spacing w:after="0" w:line="320" w:lineRule="atLeast"/>
        <w:rPr>
          <w:sz w:val="2"/>
          <w:szCs w:val="2"/>
        </w:rPr>
      </w:pPr>
    </w:p>
    <w:tbl>
      <w:tblPr>
        <w:tblStyle w:val="MWTableGrid"/>
        <w:tblpPr w:leftFromText="180" w:rightFromText="180" w:vertAnchor="text" w:horzAnchor="margin" w:tblpY="702"/>
        <w:tblW w:w="0" w:type="auto"/>
        <w:tblBorders>
          <w:top w:val="single" w:sz="4" w:space="0" w:color="003168" w:themeColor="accent1" w:themeShade="BF"/>
          <w:left w:val="single" w:sz="4" w:space="0" w:color="003168" w:themeColor="accent1" w:themeShade="BF"/>
          <w:bottom w:val="single" w:sz="4" w:space="0" w:color="003168" w:themeColor="accent1" w:themeShade="BF"/>
          <w:right w:val="single" w:sz="4" w:space="0" w:color="003168" w:themeColor="accent1" w:themeShade="BF"/>
          <w:insideH w:val="single" w:sz="4" w:space="0" w:color="003168" w:themeColor="accent1" w:themeShade="BF"/>
        </w:tblBorders>
        <w:tblLook w:val="04A0" w:firstRow="1" w:lastRow="0" w:firstColumn="1" w:lastColumn="0" w:noHBand="0" w:noVBand="1"/>
      </w:tblPr>
      <w:tblGrid>
        <w:gridCol w:w="3923"/>
        <w:gridCol w:w="3924"/>
        <w:gridCol w:w="3923"/>
        <w:gridCol w:w="3924"/>
      </w:tblGrid>
      <w:tr w:rsidR="00812A7A" w:rsidRPr="006E61ED" w14:paraId="14D2BAE9" w14:textId="77777777" w:rsidTr="00812A7A">
        <w:trPr>
          <w:cnfStyle w:val="100000000000" w:firstRow="1" w:lastRow="0" w:firstColumn="0" w:lastColumn="0" w:oddVBand="0" w:evenVBand="0" w:oddHBand="0" w:evenHBand="0" w:firstRowFirstColumn="0" w:firstRowLastColumn="0" w:lastRowFirstColumn="0" w:lastRowLastColumn="0"/>
        </w:trPr>
        <w:tc>
          <w:tcPr>
            <w:tcW w:w="15694" w:type="dxa"/>
            <w:gridSpan w:val="4"/>
            <w:tcBorders>
              <w:top w:val="none" w:sz="0" w:space="0" w:color="auto"/>
              <w:left w:val="none" w:sz="0" w:space="0" w:color="auto"/>
              <w:bottom w:val="single" w:sz="4" w:space="0" w:color="003168" w:themeColor="accent1" w:themeShade="BF"/>
              <w:right w:val="none" w:sz="0" w:space="0" w:color="auto"/>
              <w:tl2br w:val="none" w:sz="0" w:space="0" w:color="auto"/>
              <w:tr2bl w:val="none" w:sz="0" w:space="0" w:color="auto"/>
            </w:tcBorders>
          </w:tcPr>
          <w:p w14:paraId="58ECF07C" w14:textId="77777777" w:rsidR="00812A7A" w:rsidRPr="006E61ED" w:rsidRDefault="00812A7A" w:rsidP="00812A7A">
            <w:pPr>
              <w:spacing w:before="40" w:after="40" w:line="240" w:lineRule="auto"/>
              <w:jc w:val="center"/>
              <w:rPr>
                <w:rFonts w:ascii="Calibri" w:hAnsi="Calibri"/>
                <w:b/>
                <w:sz w:val="20"/>
                <w:szCs w:val="20"/>
              </w:rPr>
            </w:pPr>
            <w:r w:rsidRPr="006E61ED">
              <w:rPr>
                <w:rFonts w:ascii="Calibri" w:hAnsi="Calibri"/>
                <w:b/>
                <w:sz w:val="20"/>
                <w:szCs w:val="20"/>
              </w:rPr>
              <w:t>Time Focus</w:t>
            </w:r>
          </w:p>
        </w:tc>
      </w:tr>
      <w:tr w:rsidR="00812A7A" w:rsidRPr="006E61ED" w14:paraId="25FDEA0F" w14:textId="77777777" w:rsidTr="00812A7A">
        <w:tc>
          <w:tcPr>
            <w:tcW w:w="3923" w:type="dxa"/>
            <w:tcBorders>
              <w:right w:val="single" w:sz="4" w:space="0" w:color="003168" w:themeColor="accent1" w:themeShade="BF"/>
            </w:tcBorders>
            <w:shd w:val="clear" w:color="auto" w:fill="C8DCF1" w:themeFill="background2" w:themeFillShade="E6"/>
          </w:tcPr>
          <w:p w14:paraId="73594BC4" w14:textId="77777777" w:rsidR="00812A7A" w:rsidRPr="006E61ED" w:rsidRDefault="00812A7A" w:rsidP="00812A7A">
            <w:pPr>
              <w:spacing w:before="40" w:after="40" w:line="240" w:lineRule="auto"/>
              <w:rPr>
                <w:rFonts w:ascii="Calibri" w:hAnsi="Calibri"/>
                <w:b/>
                <w:sz w:val="20"/>
                <w:szCs w:val="20"/>
              </w:rPr>
            </w:pPr>
            <w:r w:rsidRPr="006E61ED">
              <w:rPr>
                <w:rFonts w:ascii="Calibri" w:hAnsi="Calibri"/>
                <w:b/>
                <w:sz w:val="20"/>
                <w:szCs w:val="20"/>
              </w:rPr>
              <w:t>Influencer</w:t>
            </w:r>
          </w:p>
        </w:tc>
        <w:tc>
          <w:tcPr>
            <w:tcW w:w="3924" w:type="dxa"/>
            <w:tcBorders>
              <w:left w:val="single" w:sz="4" w:space="0" w:color="003168" w:themeColor="accent1" w:themeShade="BF"/>
              <w:right w:val="single" w:sz="4" w:space="0" w:color="003168" w:themeColor="accent1" w:themeShade="BF"/>
            </w:tcBorders>
            <w:shd w:val="clear" w:color="auto" w:fill="C8DCF1" w:themeFill="background2" w:themeFillShade="E6"/>
          </w:tcPr>
          <w:p w14:paraId="43BC9736" w14:textId="77777777" w:rsidR="00812A7A" w:rsidRPr="006E61ED" w:rsidRDefault="00812A7A" w:rsidP="00812A7A">
            <w:pPr>
              <w:spacing w:before="40" w:after="40" w:line="240" w:lineRule="auto"/>
              <w:rPr>
                <w:rFonts w:ascii="Calibri" w:hAnsi="Calibri"/>
                <w:b/>
                <w:sz w:val="20"/>
                <w:szCs w:val="20"/>
              </w:rPr>
            </w:pPr>
            <w:r w:rsidRPr="006E61ED">
              <w:rPr>
                <w:rFonts w:ascii="Calibri" w:hAnsi="Calibri"/>
                <w:b/>
                <w:sz w:val="20"/>
                <w:szCs w:val="20"/>
              </w:rPr>
              <w:t>Strategist</w:t>
            </w:r>
          </w:p>
        </w:tc>
        <w:tc>
          <w:tcPr>
            <w:tcW w:w="3923" w:type="dxa"/>
            <w:tcBorders>
              <w:left w:val="single" w:sz="4" w:space="0" w:color="003168" w:themeColor="accent1" w:themeShade="BF"/>
              <w:right w:val="single" w:sz="4" w:space="0" w:color="003168" w:themeColor="accent1" w:themeShade="BF"/>
            </w:tcBorders>
            <w:shd w:val="clear" w:color="auto" w:fill="C8DCF1" w:themeFill="background2" w:themeFillShade="E6"/>
          </w:tcPr>
          <w:p w14:paraId="3501D9F2" w14:textId="77777777" w:rsidR="00812A7A" w:rsidRPr="006E61ED" w:rsidRDefault="00812A7A" w:rsidP="00812A7A">
            <w:pPr>
              <w:spacing w:before="40" w:after="40" w:line="240" w:lineRule="auto"/>
              <w:rPr>
                <w:rFonts w:ascii="Calibri" w:hAnsi="Calibri"/>
                <w:b/>
                <w:sz w:val="20"/>
                <w:szCs w:val="20"/>
              </w:rPr>
            </w:pPr>
            <w:r>
              <w:rPr>
                <w:rFonts w:ascii="Calibri" w:hAnsi="Calibri"/>
                <w:b/>
                <w:sz w:val="20"/>
                <w:szCs w:val="20"/>
              </w:rPr>
              <w:t>Contributor</w:t>
            </w:r>
          </w:p>
        </w:tc>
        <w:tc>
          <w:tcPr>
            <w:tcW w:w="3924" w:type="dxa"/>
            <w:tcBorders>
              <w:left w:val="single" w:sz="4" w:space="0" w:color="003168" w:themeColor="accent1" w:themeShade="BF"/>
            </w:tcBorders>
            <w:shd w:val="clear" w:color="auto" w:fill="C8DCF1" w:themeFill="background2" w:themeFillShade="E6"/>
          </w:tcPr>
          <w:p w14:paraId="2312DEE6" w14:textId="77777777" w:rsidR="00812A7A" w:rsidRPr="006E61ED" w:rsidRDefault="00812A7A" w:rsidP="00812A7A">
            <w:pPr>
              <w:spacing w:before="40" w:after="40" w:line="240" w:lineRule="auto"/>
              <w:rPr>
                <w:rFonts w:ascii="Calibri" w:hAnsi="Calibri"/>
                <w:b/>
                <w:sz w:val="20"/>
                <w:szCs w:val="20"/>
              </w:rPr>
            </w:pPr>
            <w:r w:rsidRPr="006E61ED">
              <w:rPr>
                <w:rFonts w:ascii="Calibri" w:hAnsi="Calibri"/>
                <w:b/>
                <w:sz w:val="20"/>
                <w:szCs w:val="20"/>
              </w:rPr>
              <w:t>Driver</w:t>
            </w:r>
          </w:p>
        </w:tc>
      </w:tr>
      <w:tr w:rsidR="00812A7A" w14:paraId="2F8D5643" w14:textId="77777777" w:rsidTr="00812A7A">
        <w:trPr>
          <w:cnfStyle w:val="000000010000" w:firstRow="0" w:lastRow="0" w:firstColumn="0" w:lastColumn="0" w:oddVBand="0" w:evenVBand="0" w:oddHBand="0" w:evenHBand="1" w:firstRowFirstColumn="0" w:firstRowLastColumn="0" w:lastRowFirstColumn="0" w:lastRowLastColumn="0"/>
        </w:trPr>
        <w:tc>
          <w:tcPr>
            <w:tcW w:w="3923" w:type="dxa"/>
            <w:tcBorders>
              <w:right w:val="single" w:sz="4" w:space="0" w:color="003168" w:themeColor="accent1" w:themeShade="BF"/>
            </w:tcBorders>
            <w:shd w:val="clear" w:color="auto" w:fill="auto"/>
          </w:tcPr>
          <w:p w14:paraId="19090663" w14:textId="77777777" w:rsidR="00812A7A" w:rsidRPr="00495821" w:rsidRDefault="00812A7A" w:rsidP="00812A7A">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 xml:space="preserve">Influence change across your team and </w:t>
            </w:r>
            <w:r>
              <w:rPr>
                <w:rFonts w:ascii="Calibri" w:hAnsi="Calibri" w:cs="Calibri"/>
                <w:sz w:val="19"/>
                <w:szCs w:val="19"/>
                <w:lang w:val="en-GB"/>
              </w:rPr>
              <w:t xml:space="preserve">the </w:t>
            </w:r>
            <w:r w:rsidRPr="00495821">
              <w:rPr>
                <w:rFonts w:ascii="Calibri" w:hAnsi="Calibri" w:cs="Calibri"/>
                <w:sz w:val="19"/>
                <w:szCs w:val="19"/>
                <w:lang w:val="en-GB"/>
              </w:rPr>
              <w:t xml:space="preserve">organisation to accelerate strategy execution, mindset change and accountability. </w:t>
            </w:r>
          </w:p>
          <w:p w14:paraId="0A46BBA4" w14:textId="77777777" w:rsidR="00812A7A" w:rsidRPr="00495821" w:rsidRDefault="00812A7A" w:rsidP="00812A7A">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 xml:space="preserve">Build strategic relationships across </w:t>
            </w:r>
            <w:r>
              <w:rPr>
                <w:rFonts w:ascii="Calibri" w:hAnsi="Calibri" w:cs="Calibri"/>
                <w:sz w:val="19"/>
                <w:szCs w:val="19"/>
                <w:lang w:val="en-GB"/>
              </w:rPr>
              <w:t>the organisation</w:t>
            </w:r>
            <w:r w:rsidRPr="00495821">
              <w:rPr>
                <w:rFonts w:ascii="Calibri" w:hAnsi="Calibri" w:cs="Calibri"/>
                <w:sz w:val="19"/>
                <w:szCs w:val="19"/>
                <w:lang w:val="en-GB"/>
              </w:rPr>
              <w:t xml:space="preserve"> and relevant external markets (peers, partners, govt.).</w:t>
            </w:r>
          </w:p>
          <w:p w14:paraId="5699347B" w14:textId="77777777" w:rsidR="00812A7A" w:rsidRPr="00495821" w:rsidRDefault="00812A7A" w:rsidP="00812A7A">
            <w:pPr>
              <w:numPr>
                <w:ilvl w:val="0"/>
                <w:numId w:val="12"/>
              </w:numPr>
              <w:tabs>
                <w:tab w:val="clear" w:pos="360"/>
                <w:tab w:val="num" w:pos="720"/>
              </w:tabs>
              <w:spacing w:before="40" w:after="0" w:line="240" w:lineRule="auto"/>
              <w:ind w:left="142" w:hanging="142"/>
              <w:rPr>
                <w:rFonts w:ascii="Calibri" w:hAnsi="Calibri"/>
                <w:sz w:val="20"/>
                <w:szCs w:val="20"/>
              </w:rPr>
            </w:pPr>
            <w:r w:rsidRPr="00495821">
              <w:rPr>
                <w:rFonts w:ascii="Calibri" w:hAnsi="Calibri" w:cs="Calibri"/>
                <w:sz w:val="19"/>
                <w:szCs w:val="19"/>
                <w:lang w:val="en-GB"/>
              </w:rPr>
              <w:t xml:space="preserve">Support </w:t>
            </w:r>
            <w:r>
              <w:rPr>
                <w:rFonts w:ascii="Calibri" w:hAnsi="Calibri" w:cs="Calibri"/>
                <w:sz w:val="19"/>
                <w:szCs w:val="19"/>
                <w:lang w:val="en-GB"/>
              </w:rPr>
              <w:t>Head of Procurement &amp; Contract Management</w:t>
            </w:r>
          </w:p>
        </w:tc>
        <w:tc>
          <w:tcPr>
            <w:tcW w:w="3924" w:type="dxa"/>
            <w:tcBorders>
              <w:left w:val="single" w:sz="4" w:space="0" w:color="003168" w:themeColor="accent1" w:themeShade="BF"/>
              <w:right w:val="single" w:sz="4" w:space="0" w:color="003168" w:themeColor="accent1" w:themeShade="BF"/>
            </w:tcBorders>
            <w:shd w:val="clear" w:color="auto" w:fill="auto"/>
          </w:tcPr>
          <w:p w14:paraId="4E7F2B79" w14:textId="77777777" w:rsidR="00812A7A" w:rsidRPr="00495821" w:rsidRDefault="00812A7A" w:rsidP="00812A7A">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 xml:space="preserve">Position your </w:t>
            </w:r>
            <w:r>
              <w:rPr>
                <w:rFonts w:ascii="Calibri" w:hAnsi="Calibri" w:cs="Calibri"/>
                <w:sz w:val="19"/>
                <w:szCs w:val="19"/>
                <w:lang w:val="en-GB"/>
              </w:rPr>
              <w:t xml:space="preserve">team </w:t>
            </w:r>
            <w:r w:rsidRPr="00495821">
              <w:rPr>
                <w:rFonts w:ascii="Calibri" w:hAnsi="Calibri" w:cs="Calibri"/>
                <w:sz w:val="19"/>
                <w:szCs w:val="19"/>
                <w:lang w:val="en-GB"/>
              </w:rPr>
              <w:t xml:space="preserve">and the </w:t>
            </w:r>
            <w:r>
              <w:rPr>
                <w:rFonts w:ascii="Calibri" w:hAnsi="Calibri" w:cs="Calibri"/>
                <w:sz w:val="19"/>
                <w:szCs w:val="19"/>
                <w:lang w:val="en-GB"/>
              </w:rPr>
              <w:t>organisation</w:t>
            </w:r>
            <w:r w:rsidRPr="00495821">
              <w:rPr>
                <w:rFonts w:ascii="Calibri" w:hAnsi="Calibri" w:cs="Calibri"/>
                <w:sz w:val="19"/>
                <w:szCs w:val="19"/>
                <w:lang w:val="en-GB"/>
              </w:rPr>
              <w:t xml:space="preserve"> for the future (Future Focus), using foresight for innovation</w:t>
            </w:r>
          </w:p>
          <w:p w14:paraId="7FB3A429" w14:textId="77777777" w:rsidR="00812A7A" w:rsidRPr="00495821" w:rsidRDefault="00812A7A" w:rsidP="00812A7A">
            <w:pPr>
              <w:spacing w:before="40" w:after="0" w:line="240" w:lineRule="auto"/>
              <w:ind w:left="142"/>
              <w:rPr>
                <w:rFonts w:ascii="Calibri" w:hAnsi="Calibri" w:cs="Calibri"/>
                <w:sz w:val="19"/>
                <w:szCs w:val="19"/>
                <w:lang w:val="en-GB"/>
              </w:rPr>
            </w:pPr>
          </w:p>
        </w:tc>
        <w:tc>
          <w:tcPr>
            <w:tcW w:w="3923" w:type="dxa"/>
            <w:tcBorders>
              <w:left w:val="single" w:sz="4" w:space="0" w:color="003168" w:themeColor="accent1" w:themeShade="BF"/>
              <w:right w:val="single" w:sz="4" w:space="0" w:color="003168" w:themeColor="accent1" w:themeShade="BF"/>
            </w:tcBorders>
            <w:shd w:val="clear" w:color="auto" w:fill="auto"/>
          </w:tcPr>
          <w:p w14:paraId="29ADA59E" w14:textId="77777777" w:rsidR="00812A7A" w:rsidRPr="00A9707B" w:rsidRDefault="00812A7A" w:rsidP="00812A7A">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Pr>
                <w:rFonts w:ascii="Calibri" w:hAnsi="Calibri" w:cs="Calibri"/>
                <w:sz w:val="19"/>
                <w:szCs w:val="19"/>
                <w:lang w:val="en-GB"/>
              </w:rPr>
              <w:t>Contribute to achieving team and business goals</w:t>
            </w:r>
          </w:p>
        </w:tc>
        <w:tc>
          <w:tcPr>
            <w:tcW w:w="3924" w:type="dxa"/>
            <w:tcBorders>
              <w:left w:val="single" w:sz="4" w:space="0" w:color="003168" w:themeColor="accent1" w:themeShade="BF"/>
            </w:tcBorders>
            <w:shd w:val="clear" w:color="auto" w:fill="auto"/>
          </w:tcPr>
          <w:p w14:paraId="05B76775" w14:textId="77777777" w:rsidR="00812A7A" w:rsidRPr="00495821" w:rsidRDefault="00812A7A" w:rsidP="00812A7A">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 xml:space="preserve">Focus on efficient operation of business, ensuring risk, compliance and customer outcomes are delivered. </w:t>
            </w:r>
          </w:p>
          <w:p w14:paraId="6808AACD" w14:textId="77777777" w:rsidR="00812A7A" w:rsidRPr="00495821" w:rsidRDefault="00812A7A" w:rsidP="00812A7A">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Driving operational effectiveness, process improvement, achieving capital spend targets, and ensure consistent audit outcomes</w:t>
            </w:r>
          </w:p>
        </w:tc>
      </w:tr>
    </w:tbl>
    <w:p w14:paraId="5C330F5F" w14:textId="77777777" w:rsidR="008A4EA9" w:rsidRPr="00812A7A" w:rsidRDefault="008A4EA9" w:rsidP="00C41129">
      <w:pPr>
        <w:spacing w:after="0" w:line="320" w:lineRule="atLeast"/>
        <w:rPr>
          <w:b/>
          <w:sz w:val="20"/>
          <w:szCs w:val="20"/>
        </w:rPr>
      </w:pPr>
    </w:p>
    <w:sectPr w:rsidR="008A4EA9" w:rsidRPr="00812A7A" w:rsidSect="00E2416E">
      <w:headerReference w:type="default" r:id="rId8"/>
      <w:footerReference w:type="default" r:id="rId9"/>
      <w:pgSz w:w="16838" w:h="11906" w:orient="landscape" w:code="9"/>
      <w:pgMar w:top="567" w:right="567" w:bottom="567" w:left="567" w:header="567"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5673" w14:textId="77777777" w:rsidR="00CB5341" w:rsidRDefault="00CB5341" w:rsidP="00256624">
      <w:r>
        <w:separator/>
      </w:r>
    </w:p>
    <w:p w14:paraId="01AA5319" w14:textId="77777777" w:rsidR="00CB5341" w:rsidRDefault="00CB5341"/>
  </w:endnote>
  <w:endnote w:type="continuationSeparator" w:id="0">
    <w:p w14:paraId="5940F4B2" w14:textId="77777777" w:rsidR="00CB5341" w:rsidRDefault="00CB5341" w:rsidP="00256624">
      <w:r>
        <w:continuationSeparator/>
      </w:r>
    </w:p>
    <w:p w14:paraId="2BF827CF" w14:textId="77777777" w:rsidR="00CB5341" w:rsidRDefault="00CB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CF2B" w14:textId="77777777" w:rsidR="00C41129" w:rsidRPr="00E2416E" w:rsidRDefault="00C41129" w:rsidP="00C41129">
    <w:pPr>
      <w:pStyle w:val="Footer"/>
      <w:jc w:val="left"/>
      <w:rPr>
        <w:sz w:val="16"/>
        <w:szCs w:val="16"/>
      </w:rPr>
    </w:pPr>
    <w:r w:rsidRPr="00866B72">
      <w:rPr>
        <w:rFonts w:cstheme="minorHAnsi"/>
        <w:sz w:val="60"/>
        <w:szCs w:val="60"/>
        <w:lang w:eastAsia="en-AU"/>
      </w:rPr>
      <w:drawing>
        <wp:anchor distT="0" distB="0" distL="114300" distR="114300" simplePos="0" relativeHeight="251663360" behindDoc="0" locked="0" layoutInCell="1" allowOverlap="1" wp14:anchorId="336170E6" wp14:editId="5F3D6D7B">
          <wp:simplePos x="0" y="0"/>
          <wp:positionH relativeFrom="column">
            <wp:posOffset>8989695</wp:posOffset>
          </wp:positionH>
          <wp:positionV relativeFrom="paragraph">
            <wp:posOffset>-8890</wp:posOffset>
          </wp:positionV>
          <wp:extent cx="983615" cy="266065"/>
          <wp:effectExtent l="0" t="0" r="6985" b="635"/>
          <wp:wrapThrough wrapText="bothSides">
            <wp:wrapPolygon edited="0">
              <wp:start x="0" y="0"/>
              <wp:lineTo x="0" y="20105"/>
              <wp:lineTo x="21335" y="20105"/>
              <wp:lineTo x="21335" y="0"/>
              <wp:lineTo x="0" y="0"/>
            </wp:wrapPolygon>
          </wp:wrapThrough>
          <wp:docPr id="5" name="Picture 4" descr="A blue text on a white background&#10;&#10;AI-generated content may be incorrect.">
            <a:extLst xmlns:a="http://schemas.openxmlformats.org/drawingml/2006/main">
              <a:ext uri="{FF2B5EF4-FFF2-40B4-BE49-F238E27FC236}">
                <a16:creationId xmlns:a16="http://schemas.microsoft.com/office/drawing/2014/main" id="{A42A18B0-4FB2-758E-26CD-5E3919BA6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text on a white background&#10;&#10;AI-generated content may be incorrect.">
                    <a:extLst>
                      <a:ext uri="{FF2B5EF4-FFF2-40B4-BE49-F238E27FC236}">
                        <a16:creationId xmlns:a16="http://schemas.microsoft.com/office/drawing/2014/main" id="{A42A18B0-4FB2-758E-26CD-5E3919BA68B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3615" cy="266065"/>
                  </a:xfrm>
                  <a:prstGeom prst="rect">
                    <a:avLst/>
                  </a:prstGeom>
                </pic:spPr>
              </pic:pic>
            </a:graphicData>
          </a:graphic>
          <wp14:sizeRelH relativeFrom="page">
            <wp14:pctWidth>0</wp14:pctWidth>
          </wp14:sizeRelH>
          <wp14:sizeRelV relativeFrom="page">
            <wp14:pctHeight>0</wp14:pctHeight>
          </wp14:sizeRelV>
        </wp:anchor>
      </w:drawing>
    </w:r>
    <w:r w:rsidRPr="00FF25E2">
      <w:rPr>
        <w:sz w:val="16"/>
        <w:szCs w:val="16"/>
      </w:rPr>
      <w:t>HR TEM Role Mandate –</w:t>
    </w:r>
    <w:r>
      <w:rPr>
        <w:sz w:val="16"/>
        <w:szCs w:val="16"/>
      </w:rPr>
      <w:t xml:space="preserve"> Group 3 Technical Leaders</w:t>
    </w:r>
    <w:r>
      <w:rPr>
        <w:sz w:val="16"/>
        <w:szCs w:val="16"/>
      </w:rPr>
      <w:br/>
      <w:t xml:space="preserve">Doc ID: </w:t>
    </w:r>
    <w:r w:rsidRPr="00FF25E2">
      <w:rPr>
        <w:sz w:val="16"/>
        <w:szCs w:val="16"/>
      </w:rPr>
      <w:t>66550196</w:t>
    </w:r>
    <w:r>
      <w:rPr>
        <w:sz w:val="16"/>
        <w:szCs w:val="16"/>
      </w:rPr>
      <w:br/>
      <w:t>Approved July 2024</w:t>
    </w:r>
    <w:r>
      <w:rPr>
        <w:sz w:val="16"/>
        <w:szCs w:val="16"/>
      </w:rPr>
      <w:br/>
      <w:t>Version 5</w:t>
    </w:r>
  </w:p>
  <w:p w14:paraId="7D029F6D" w14:textId="4ECC8A2D" w:rsidR="001C2D7B" w:rsidRPr="00C41129" w:rsidRDefault="001C2D7B" w:rsidP="00C4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F776" w14:textId="77777777" w:rsidR="00CB5341" w:rsidRDefault="00CB5341" w:rsidP="00256624">
      <w:r>
        <w:separator/>
      </w:r>
    </w:p>
    <w:p w14:paraId="01AD340D" w14:textId="77777777" w:rsidR="00CB5341" w:rsidRDefault="00CB5341"/>
  </w:footnote>
  <w:footnote w:type="continuationSeparator" w:id="0">
    <w:p w14:paraId="1769E3D8" w14:textId="77777777" w:rsidR="00CB5341" w:rsidRDefault="00CB5341" w:rsidP="00256624">
      <w:r>
        <w:continuationSeparator/>
      </w:r>
    </w:p>
    <w:p w14:paraId="545692D6" w14:textId="77777777" w:rsidR="00CB5341" w:rsidRDefault="00CB5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8F7F" w14:textId="2AC11EB2" w:rsidR="001C2D7B" w:rsidRPr="00564A7B" w:rsidRDefault="0032736D" w:rsidP="00564A7B">
    <w:pPr>
      <w:pStyle w:val="Header"/>
      <w:tabs>
        <w:tab w:val="clear" w:pos="7796"/>
        <w:tab w:val="right" w:pos="15704"/>
      </w:tabs>
      <w:spacing w:after="60" w:line="240" w:lineRule="auto"/>
      <w:jc w:val="left"/>
      <w:rPr>
        <w:b/>
        <w:color w:val="00428B" w:themeColor="text2"/>
        <w:sz w:val="24"/>
        <w:szCs w:val="24"/>
      </w:rPr>
    </w:pPr>
    <w:r>
      <w:rPr>
        <w:b/>
        <w:noProof/>
        <w:color w:val="00428B" w:themeColor="text2"/>
        <w:sz w:val="24"/>
        <w:szCs w:val="24"/>
        <w:lang w:eastAsia="en-AU"/>
      </w:rPr>
      <mc:AlternateContent>
        <mc:Choice Requires="wps">
          <w:drawing>
            <wp:anchor distT="0" distB="0" distL="114300" distR="114300" simplePos="0" relativeHeight="251661312" behindDoc="0" locked="0" layoutInCell="0" allowOverlap="1" wp14:anchorId="6CFA7CCF" wp14:editId="6092F1C8">
              <wp:simplePos x="0" y="0"/>
              <wp:positionH relativeFrom="page">
                <wp:posOffset>0</wp:posOffset>
              </wp:positionH>
              <wp:positionV relativeFrom="page">
                <wp:posOffset>190500</wp:posOffset>
              </wp:positionV>
              <wp:extent cx="10692130" cy="273050"/>
              <wp:effectExtent l="0" t="0" r="0" b="12700"/>
              <wp:wrapNone/>
              <wp:docPr id="1" name="MSIPCM44464f99a2d5eb10b548638d" descr="{&quot;HashCode&quot;:431517927,&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60940" w14:textId="77777777" w:rsidR="0032736D" w:rsidRPr="0032736D" w:rsidRDefault="0032736D" w:rsidP="0032736D">
                          <w:pPr>
                            <w:spacing w:after="0"/>
                            <w:jc w:val="center"/>
                            <w:rPr>
                              <w:rFonts w:ascii="Calibri" w:hAnsi="Calibri" w:cs="Calibri"/>
                              <w:color w:val="FF0000"/>
                              <w:sz w:val="28"/>
                            </w:rPr>
                          </w:pPr>
                          <w:r w:rsidRPr="0032736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FA7CCF" id="_x0000_t202" coordsize="21600,21600" o:spt="202" path="m,l,21600r21600,l21600,xe">
              <v:stroke joinstyle="miter"/>
              <v:path gradientshapeok="t" o:connecttype="rect"/>
            </v:shapetype>
            <v:shape id="MSIPCM44464f99a2d5eb10b548638d" o:spid="_x0000_s1026" type="#_x0000_t202" alt="{&quot;HashCode&quot;:431517927,&quot;Height&quot;:595.0,&quot;Width&quot;:841.0,&quot;Placement&quot;:&quot;Header&quot;,&quot;Index&quot;:&quot;Primary&quot;,&quot;Section&quot;:1,&quot;Top&quot;:0.0,&quot;Left&quot;:0.0}" style="position:absolute;margin-left:0;margin-top:1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71860940" w14:textId="77777777" w:rsidR="0032736D" w:rsidRPr="0032736D" w:rsidRDefault="0032736D" w:rsidP="0032736D">
                    <w:pPr>
                      <w:spacing w:after="0"/>
                      <w:jc w:val="center"/>
                      <w:rPr>
                        <w:rFonts w:ascii="Calibri" w:hAnsi="Calibri" w:cs="Calibri"/>
                        <w:color w:val="FF0000"/>
                        <w:sz w:val="28"/>
                      </w:rPr>
                    </w:pPr>
                    <w:r w:rsidRPr="0032736D">
                      <w:rPr>
                        <w:rFonts w:ascii="Calibri" w:hAnsi="Calibri" w:cs="Calibri"/>
                        <w:color w:val="FF0000"/>
                        <w:sz w:val="28"/>
                      </w:rPr>
                      <w:t>OFFICIAL</w:t>
                    </w:r>
                  </w:p>
                </w:txbxContent>
              </v:textbox>
              <w10:wrap anchorx="page" anchory="page"/>
            </v:shape>
          </w:pict>
        </mc:Fallback>
      </mc:AlternateContent>
    </w:r>
    <w:r w:rsidR="001C2D7B" w:rsidRPr="00E2416E">
      <w:rPr>
        <w:b/>
        <w:noProof/>
        <w:color w:val="00428B" w:themeColor="text2"/>
        <w:sz w:val="24"/>
        <w:szCs w:val="24"/>
        <w:lang w:eastAsia="en-AU"/>
      </w:rPr>
      <w:drawing>
        <wp:anchor distT="0" distB="0" distL="114300" distR="114300" simplePos="0" relativeHeight="251659264" behindDoc="1" locked="0" layoutInCell="1" allowOverlap="1" wp14:anchorId="005264BF" wp14:editId="73EF93C1">
          <wp:simplePos x="0" y="0"/>
          <wp:positionH relativeFrom="page">
            <wp:posOffset>7124700</wp:posOffset>
          </wp:positionH>
          <wp:positionV relativeFrom="paragraph">
            <wp:posOffset>-360045</wp:posOffset>
          </wp:positionV>
          <wp:extent cx="3676650" cy="1699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76650" cy="1699895"/>
                  </a:xfrm>
                  <a:prstGeom prst="rect">
                    <a:avLst/>
                  </a:prstGeom>
                </pic:spPr>
              </pic:pic>
            </a:graphicData>
          </a:graphic>
          <wp14:sizeRelH relativeFrom="margin">
            <wp14:pctWidth>0</wp14:pctWidth>
          </wp14:sizeRelH>
          <wp14:sizeRelV relativeFrom="margin">
            <wp14:pctHeight>0</wp14:pctHeight>
          </wp14:sizeRelV>
        </wp:anchor>
      </w:drawing>
    </w:r>
    <w:r w:rsidR="001C2D7B">
      <w:rPr>
        <w:b/>
        <w:color w:val="00428B" w:themeColor="text2"/>
        <w:sz w:val="24"/>
        <w:szCs w:val="24"/>
      </w:rPr>
      <w:t xml:space="preserve">MW </w:t>
    </w:r>
    <w:r w:rsidR="001C2D7B" w:rsidRPr="00E2416E">
      <w:rPr>
        <w:b/>
        <w:color w:val="00428B" w:themeColor="text2"/>
        <w:sz w:val="24"/>
        <w:szCs w:val="24"/>
      </w:rPr>
      <w:t>ROLE MANDATE</w:t>
    </w:r>
    <w:r w:rsidR="0058650B">
      <w:rPr>
        <w:b/>
        <w:color w:val="00428B" w:themeColor="text2"/>
        <w:sz w:val="24"/>
        <w:szCs w:val="24"/>
      </w:rPr>
      <w:t xml:space="preserve"> </w:t>
    </w:r>
    <w:r w:rsidR="00564A7B">
      <w:rPr>
        <w:b/>
        <w:color w:val="00428B" w:themeColor="text2"/>
        <w:sz w:val="24"/>
        <w:szCs w:val="24"/>
      </w:rPr>
      <w:t xml:space="preserve">- </w:t>
    </w:r>
    <w:r w:rsidR="00564A7B" w:rsidRPr="00564A7B">
      <w:rPr>
        <w:b/>
        <w:color w:val="00428B" w:themeColor="text2"/>
        <w:sz w:val="24"/>
        <w:szCs w:val="24"/>
      </w:rPr>
      <w:t>T</w:t>
    </w:r>
    <w:r w:rsidR="0058650B" w:rsidRPr="00564A7B">
      <w:rPr>
        <w:b/>
        <w:color w:val="00428B" w:themeColor="text2"/>
        <w:sz w:val="24"/>
        <w:szCs w:val="24"/>
      </w:rPr>
      <w:t xml:space="preserve">echnical </w:t>
    </w:r>
    <w:r w:rsidR="00564A7B" w:rsidRPr="00564A7B">
      <w:rPr>
        <w:b/>
        <w:color w:val="00428B" w:themeColor="text2"/>
        <w:sz w:val="24"/>
        <w:szCs w:val="24"/>
      </w:rPr>
      <w:t>Leader</w:t>
    </w:r>
    <w:r w:rsidR="00E32360">
      <w:rPr>
        <w:b/>
        <w:color w:val="00428B" w:themeColor="text2"/>
        <w:sz w:val="24"/>
        <w:szCs w:val="24"/>
      </w:rPr>
      <w:br/>
    </w:r>
    <w:r w:rsidR="00983A6D">
      <w:rPr>
        <w:b/>
        <w:color w:val="00428B" w:themeColor="text2"/>
        <w:sz w:val="24"/>
        <w:szCs w:val="24"/>
      </w:rPr>
      <w:br/>
    </w:r>
    <w:r w:rsidR="00983A6D" w:rsidRPr="00E2416E">
      <w:rPr>
        <w:sz w:val="16"/>
        <w:szCs w:val="16"/>
      </w:rPr>
      <w:t>Date assessed:</w:t>
    </w:r>
    <w:r w:rsidR="00812A7A">
      <w:rPr>
        <w:sz w:val="16"/>
        <w:szCs w:val="16"/>
      </w:rPr>
      <w:t xml:space="preserve"> </w:t>
    </w:r>
    <w:r w:rsidR="007F72CD">
      <w:rPr>
        <w:sz w:val="16"/>
        <w:szCs w:val="16"/>
      </w:rPr>
      <w:t>April 2025</w:t>
    </w:r>
    <w:r w:rsidR="001C2D7B" w:rsidRPr="00564A7B">
      <w:rPr>
        <w:b/>
        <w:color w:val="00428B" w:themeColor="text2"/>
        <w:sz w:val="24"/>
        <w:szCs w:val="24"/>
      </w:rPr>
      <w:fldChar w:fldCharType="begin"/>
    </w:r>
    <w:r w:rsidR="001C2D7B" w:rsidRPr="00564A7B">
      <w:rPr>
        <w:b/>
        <w:color w:val="00428B" w:themeColor="text2"/>
        <w:sz w:val="24"/>
        <w:szCs w:val="24"/>
      </w:rPr>
      <w:instrText xml:space="preserve">  </w:instrText>
    </w:r>
    <w:r w:rsidR="001C2D7B" w:rsidRPr="00564A7B">
      <w:rPr>
        <w:b/>
        <w:color w:val="00428B" w:themeColor="text2"/>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E44FD0"/>
    <w:multiLevelType w:val="hybridMultilevel"/>
    <w:tmpl w:val="7DD00718"/>
    <w:name w:val="Bullets2"/>
    <w:lvl w:ilvl="0" w:tplc="A6E0513C">
      <w:start w:val="1"/>
      <w:numFmt w:val="bullet"/>
      <w:lvlText w:val="–"/>
      <w:lvlJc w:val="left"/>
      <w:pPr>
        <w:ind w:left="1494"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4F3C5B"/>
    <w:multiLevelType w:val="multilevel"/>
    <w:tmpl w:val="638C74BE"/>
    <w:name w:val="Bullets"/>
    <w:lvl w:ilvl="0">
      <w:start w:val="1"/>
      <w:numFmt w:val="bullet"/>
      <w:pStyle w:val="ListBullet"/>
      <w:lvlText w:val="•"/>
      <w:lvlJc w:val="left"/>
      <w:pPr>
        <w:ind w:left="567" w:hanging="567"/>
      </w:pPr>
      <w:rPr>
        <w:rFonts w:ascii="Verdana" w:hAnsi="Verdana" w:hint="default"/>
      </w:rPr>
    </w:lvl>
    <w:lvl w:ilvl="1">
      <w:start w:val="1"/>
      <w:numFmt w:val="bullet"/>
      <w:pStyle w:val="ListBullet2"/>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1238CF"/>
    <w:multiLevelType w:val="multilevel"/>
    <w:tmpl w:val="D2386AF6"/>
    <w:name w:val="Bullets4"/>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125A32F6"/>
    <w:multiLevelType w:val="hybridMultilevel"/>
    <w:tmpl w:val="AB0C92C8"/>
    <w:lvl w:ilvl="0" w:tplc="779E7EE8">
      <w:numFmt w:val="bullet"/>
      <w:lvlText w:val="-"/>
      <w:lvlJc w:val="left"/>
      <w:pPr>
        <w:tabs>
          <w:tab w:val="num" w:pos="360"/>
        </w:tabs>
        <w:ind w:left="360" w:hanging="360"/>
      </w:pPr>
      <w:rPr>
        <w:rFonts w:ascii="Calibri" w:eastAsia="Times New Roman" w:hAnsi="Calibri" w:hint="default"/>
      </w:rPr>
    </w:lvl>
    <w:lvl w:ilvl="1" w:tplc="EF5C44A0">
      <w:start w:val="1"/>
      <w:numFmt w:val="bullet"/>
      <w:lvlText w:val="•"/>
      <w:lvlJc w:val="left"/>
      <w:pPr>
        <w:tabs>
          <w:tab w:val="num" w:pos="1080"/>
        </w:tabs>
        <w:ind w:left="1080" w:hanging="360"/>
      </w:pPr>
      <w:rPr>
        <w:rFonts w:ascii="Arial" w:hAnsi="Arial" w:hint="default"/>
      </w:rPr>
    </w:lvl>
    <w:lvl w:ilvl="2" w:tplc="2E303D3A" w:tentative="1">
      <w:start w:val="1"/>
      <w:numFmt w:val="bullet"/>
      <w:lvlText w:val="•"/>
      <w:lvlJc w:val="left"/>
      <w:pPr>
        <w:tabs>
          <w:tab w:val="num" w:pos="1800"/>
        </w:tabs>
        <w:ind w:left="1800" w:hanging="360"/>
      </w:pPr>
      <w:rPr>
        <w:rFonts w:ascii="Arial" w:hAnsi="Arial" w:hint="default"/>
      </w:rPr>
    </w:lvl>
    <w:lvl w:ilvl="3" w:tplc="2F0AE7E8" w:tentative="1">
      <w:start w:val="1"/>
      <w:numFmt w:val="bullet"/>
      <w:lvlText w:val="•"/>
      <w:lvlJc w:val="left"/>
      <w:pPr>
        <w:tabs>
          <w:tab w:val="num" w:pos="2520"/>
        </w:tabs>
        <w:ind w:left="2520" w:hanging="360"/>
      </w:pPr>
      <w:rPr>
        <w:rFonts w:ascii="Arial" w:hAnsi="Arial" w:hint="default"/>
      </w:rPr>
    </w:lvl>
    <w:lvl w:ilvl="4" w:tplc="6BF291BE" w:tentative="1">
      <w:start w:val="1"/>
      <w:numFmt w:val="bullet"/>
      <w:lvlText w:val="•"/>
      <w:lvlJc w:val="left"/>
      <w:pPr>
        <w:tabs>
          <w:tab w:val="num" w:pos="3240"/>
        </w:tabs>
        <w:ind w:left="3240" w:hanging="360"/>
      </w:pPr>
      <w:rPr>
        <w:rFonts w:ascii="Arial" w:hAnsi="Arial" w:hint="default"/>
      </w:rPr>
    </w:lvl>
    <w:lvl w:ilvl="5" w:tplc="99027AE2" w:tentative="1">
      <w:start w:val="1"/>
      <w:numFmt w:val="bullet"/>
      <w:lvlText w:val="•"/>
      <w:lvlJc w:val="left"/>
      <w:pPr>
        <w:tabs>
          <w:tab w:val="num" w:pos="3960"/>
        </w:tabs>
        <w:ind w:left="3960" w:hanging="360"/>
      </w:pPr>
      <w:rPr>
        <w:rFonts w:ascii="Arial" w:hAnsi="Arial" w:hint="default"/>
      </w:rPr>
    </w:lvl>
    <w:lvl w:ilvl="6" w:tplc="A5B8300A" w:tentative="1">
      <w:start w:val="1"/>
      <w:numFmt w:val="bullet"/>
      <w:lvlText w:val="•"/>
      <w:lvlJc w:val="left"/>
      <w:pPr>
        <w:tabs>
          <w:tab w:val="num" w:pos="4680"/>
        </w:tabs>
        <w:ind w:left="4680" w:hanging="360"/>
      </w:pPr>
      <w:rPr>
        <w:rFonts w:ascii="Arial" w:hAnsi="Arial" w:hint="default"/>
      </w:rPr>
    </w:lvl>
    <w:lvl w:ilvl="7" w:tplc="4B462256" w:tentative="1">
      <w:start w:val="1"/>
      <w:numFmt w:val="bullet"/>
      <w:lvlText w:val="•"/>
      <w:lvlJc w:val="left"/>
      <w:pPr>
        <w:tabs>
          <w:tab w:val="num" w:pos="5400"/>
        </w:tabs>
        <w:ind w:left="5400" w:hanging="360"/>
      </w:pPr>
      <w:rPr>
        <w:rFonts w:ascii="Arial" w:hAnsi="Arial" w:hint="default"/>
      </w:rPr>
    </w:lvl>
    <w:lvl w:ilvl="8" w:tplc="AD42285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C16074"/>
    <w:multiLevelType w:val="hybridMultilevel"/>
    <w:tmpl w:val="E470531E"/>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9" w15:restartNumberingAfterBreak="0">
    <w:nsid w:val="1B3160A6"/>
    <w:multiLevelType w:val="multilevel"/>
    <w:tmpl w:val="1818AE3E"/>
    <w:name w:val="NumberedLists"/>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AA01C4"/>
    <w:multiLevelType w:val="multilevel"/>
    <w:tmpl w:val="ECE22754"/>
    <w:name w:val="NumberedList"/>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11260D"/>
    <w:multiLevelType w:val="multilevel"/>
    <w:tmpl w:val="A368767C"/>
    <w:name w:val="NotesNumbering"/>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6"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4F7B6113"/>
    <w:multiLevelType w:val="hybridMultilevel"/>
    <w:tmpl w:val="BDCE1CC4"/>
    <w:lvl w:ilvl="0" w:tplc="DBE69D32">
      <w:start w:val="1"/>
      <w:numFmt w:val="bullet"/>
      <w:lvlText w:val="•"/>
      <w:lvlJc w:val="left"/>
      <w:pPr>
        <w:tabs>
          <w:tab w:val="num" w:pos="360"/>
        </w:tabs>
        <w:ind w:left="360" w:hanging="360"/>
      </w:pPr>
      <w:rPr>
        <w:rFonts w:ascii="Arial" w:hAnsi="Arial" w:hint="default"/>
      </w:rPr>
    </w:lvl>
    <w:lvl w:ilvl="1" w:tplc="EF5C44A0">
      <w:start w:val="1"/>
      <w:numFmt w:val="bullet"/>
      <w:lvlText w:val="•"/>
      <w:lvlJc w:val="left"/>
      <w:pPr>
        <w:tabs>
          <w:tab w:val="num" w:pos="1080"/>
        </w:tabs>
        <w:ind w:left="1080" w:hanging="360"/>
      </w:pPr>
      <w:rPr>
        <w:rFonts w:ascii="Arial" w:hAnsi="Arial" w:hint="default"/>
      </w:rPr>
    </w:lvl>
    <w:lvl w:ilvl="2" w:tplc="2E303D3A" w:tentative="1">
      <w:start w:val="1"/>
      <w:numFmt w:val="bullet"/>
      <w:lvlText w:val="•"/>
      <w:lvlJc w:val="left"/>
      <w:pPr>
        <w:tabs>
          <w:tab w:val="num" w:pos="1800"/>
        </w:tabs>
        <w:ind w:left="1800" w:hanging="360"/>
      </w:pPr>
      <w:rPr>
        <w:rFonts w:ascii="Arial" w:hAnsi="Arial" w:hint="default"/>
      </w:rPr>
    </w:lvl>
    <w:lvl w:ilvl="3" w:tplc="2F0AE7E8" w:tentative="1">
      <w:start w:val="1"/>
      <w:numFmt w:val="bullet"/>
      <w:lvlText w:val="•"/>
      <w:lvlJc w:val="left"/>
      <w:pPr>
        <w:tabs>
          <w:tab w:val="num" w:pos="2520"/>
        </w:tabs>
        <w:ind w:left="2520" w:hanging="360"/>
      </w:pPr>
      <w:rPr>
        <w:rFonts w:ascii="Arial" w:hAnsi="Arial" w:hint="default"/>
      </w:rPr>
    </w:lvl>
    <w:lvl w:ilvl="4" w:tplc="6BF291BE" w:tentative="1">
      <w:start w:val="1"/>
      <w:numFmt w:val="bullet"/>
      <w:lvlText w:val="•"/>
      <w:lvlJc w:val="left"/>
      <w:pPr>
        <w:tabs>
          <w:tab w:val="num" w:pos="3240"/>
        </w:tabs>
        <w:ind w:left="3240" w:hanging="360"/>
      </w:pPr>
      <w:rPr>
        <w:rFonts w:ascii="Arial" w:hAnsi="Arial" w:hint="default"/>
      </w:rPr>
    </w:lvl>
    <w:lvl w:ilvl="5" w:tplc="99027AE2" w:tentative="1">
      <w:start w:val="1"/>
      <w:numFmt w:val="bullet"/>
      <w:lvlText w:val="•"/>
      <w:lvlJc w:val="left"/>
      <w:pPr>
        <w:tabs>
          <w:tab w:val="num" w:pos="3960"/>
        </w:tabs>
        <w:ind w:left="3960" w:hanging="360"/>
      </w:pPr>
      <w:rPr>
        <w:rFonts w:ascii="Arial" w:hAnsi="Arial" w:hint="default"/>
      </w:rPr>
    </w:lvl>
    <w:lvl w:ilvl="6" w:tplc="A5B8300A" w:tentative="1">
      <w:start w:val="1"/>
      <w:numFmt w:val="bullet"/>
      <w:lvlText w:val="•"/>
      <w:lvlJc w:val="left"/>
      <w:pPr>
        <w:tabs>
          <w:tab w:val="num" w:pos="4680"/>
        </w:tabs>
        <w:ind w:left="4680" w:hanging="360"/>
      </w:pPr>
      <w:rPr>
        <w:rFonts w:ascii="Arial" w:hAnsi="Arial" w:hint="default"/>
      </w:rPr>
    </w:lvl>
    <w:lvl w:ilvl="7" w:tplc="4B462256" w:tentative="1">
      <w:start w:val="1"/>
      <w:numFmt w:val="bullet"/>
      <w:lvlText w:val="•"/>
      <w:lvlJc w:val="left"/>
      <w:pPr>
        <w:tabs>
          <w:tab w:val="num" w:pos="5400"/>
        </w:tabs>
        <w:ind w:left="5400" w:hanging="360"/>
      </w:pPr>
      <w:rPr>
        <w:rFonts w:ascii="Arial" w:hAnsi="Arial" w:hint="default"/>
      </w:rPr>
    </w:lvl>
    <w:lvl w:ilvl="8" w:tplc="AD42285E"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19" w15:restartNumberingAfterBreak="0">
    <w:nsid w:val="5821312D"/>
    <w:multiLevelType w:val="multilevel"/>
    <w:tmpl w:val="1FD6BEB8"/>
    <w:name w:val="NumberedLists2"/>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4" w15:restartNumberingAfterBreak="0">
    <w:nsid w:val="5D0C6C2A"/>
    <w:multiLevelType w:val="hybridMultilevel"/>
    <w:tmpl w:val="70A62842"/>
    <w:name w:val="Bullets3"/>
    <w:lvl w:ilvl="0" w:tplc="3A32DB7A">
      <w:start w:val="1"/>
      <w:numFmt w:val="bullet"/>
      <w:lvlText w:val="&gt;"/>
      <w:lvlJc w:val="left"/>
      <w:pPr>
        <w:ind w:left="1494"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030DAE"/>
    <w:multiLevelType w:val="multilevel"/>
    <w:tmpl w:val="BCBE5CD2"/>
    <w:name w:val="ListNumbering"/>
    <w:lvl w:ilvl="0">
      <w:start w:val="1"/>
      <w:numFmt w:val="decimal"/>
      <w:lvlText w:val="%1."/>
      <w:lvlJc w:val="left"/>
      <w:pPr>
        <w:tabs>
          <w:tab w:val="num" w:pos="454"/>
        </w:tabs>
        <w:ind w:left="454" w:hanging="454"/>
      </w:pPr>
      <w:rPr>
        <w:rFonts w:hint="default"/>
        <w:b w:val="0"/>
        <w:i w:val="0"/>
        <w:color w:val="auto"/>
        <w:sz w:val="20"/>
      </w:rPr>
    </w:lvl>
    <w:lvl w:ilvl="1">
      <w:start w:val="1"/>
      <w:numFmt w:val="lowerLetter"/>
      <w:lvlText w:val="%2."/>
      <w:lvlJc w:val="left"/>
      <w:pPr>
        <w:tabs>
          <w:tab w:val="num" w:pos="908"/>
        </w:tabs>
        <w:ind w:left="908" w:hanging="454"/>
      </w:pPr>
      <w:rPr>
        <w:rFonts w:hint="default"/>
        <w:b w:val="0"/>
        <w:i w:val="0"/>
        <w:color w:val="auto"/>
        <w:sz w:val="20"/>
      </w:rPr>
    </w:lvl>
    <w:lvl w:ilvl="2">
      <w:start w:val="1"/>
      <w:numFmt w:val="lowerRoman"/>
      <w:lvlText w:val="%3."/>
      <w:lvlJc w:val="left"/>
      <w:pPr>
        <w:tabs>
          <w:tab w:val="num" w:pos="1362"/>
        </w:tabs>
        <w:ind w:left="1362" w:hanging="454"/>
      </w:pPr>
      <w:rPr>
        <w:rFonts w:hint="default"/>
        <w:b w:val="0"/>
        <w:i w:val="0"/>
        <w:color w:val="auto"/>
        <w:sz w:val="20"/>
      </w:rPr>
    </w:lvl>
    <w:lvl w:ilvl="3">
      <w:start w:val="1"/>
      <w:numFmt w:val="upperLetter"/>
      <w:lvlText w:val="%4."/>
      <w:lvlJc w:val="left"/>
      <w:pPr>
        <w:tabs>
          <w:tab w:val="num" w:pos="1816"/>
        </w:tabs>
        <w:ind w:left="1816" w:hanging="454"/>
      </w:pPr>
      <w:rPr>
        <w:rFonts w:hint="default"/>
        <w:b w:val="0"/>
        <w:i w:val="0"/>
        <w:color w:val="auto"/>
      </w:rPr>
    </w:lvl>
    <w:lvl w:ilvl="4">
      <w:start w:val="1"/>
      <w:numFmt w:val="upperRoman"/>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1387142189">
    <w:abstractNumId w:val="11"/>
  </w:num>
  <w:num w:numId="2" w16cid:durableId="1202396876">
    <w:abstractNumId w:val="0"/>
  </w:num>
  <w:num w:numId="3" w16cid:durableId="1271083291">
    <w:abstractNumId w:val="13"/>
  </w:num>
  <w:num w:numId="4" w16cid:durableId="1653174263">
    <w:abstractNumId w:val="20"/>
  </w:num>
  <w:num w:numId="5" w16cid:durableId="336156125">
    <w:abstractNumId w:val="15"/>
  </w:num>
  <w:num w:numId="6" w16cid:durableId="2034455035">
    <w:abstractNumId w:val="16"/>
  </w:num>
  <w:num w:numId="7" w16cid:durableId="570164018">
    <w:abstractNumId w:val="3"/>
  </w:num>
  <w:num w:numId="8" w16cid:durableId="1670715966">
    <w:abstractNumId w:val="10"/>
  </w:num>
  <w:num w:numId="9" w16cid:durableId="681708544">
    <w:abstractNumId w:val="9"/>
  </w:num>
  <w:num w:numId="10" w16cid:durableId="1768430534">
    <w:abstractNumId w:val="5"/>
  </w:num>
  <w:num w:numId="11" w16cid:durableId="165098739">
    <w:abstractNumId w:val="19"/>
  </w:num>
  <w:num w:numId="12" w16cid:durableId="2116554388">
    <w:abstractNumId w:val="17"/>
  </w:num>
  <w:num w:numId="13" w16cid:durableId="1002975747">
    <w:abstractNumId w:val="7"/>
  </w:num>
  <w:num w:numId="14" w16cid:durableId="423308905">
    <w:abstractNumId w:val="8"/>
  </w:num>
  <w:num w:numId="15" w16cid:durableId="142484348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Templates" w:val="True"/>
    <w:docVar w:name="Para" w:val="_x000d_"/>
    <w:docVar w:name="xAppendixName" w:val="Appendix"/>
  </w:docVars>
  <w:rsids>
    <w:rsidRoot w:val="0066566F"/>
    <w:rsid w:val="00000194"/>
    <w:rsid w:val="000035F6"/>
    <w:rsid w:val="00004327"/>
    <w:rsid w:val="00004810"/>
    <w:rsid w:val="00004A68"/>
    <w:rsid w:val="000056AD"/>
    <w:rsid w:val="0000624C"/>
    <w:rsid w:val="00007AB9"/>
    <w:rsid w:val="000104AD"/>
    <w:rsid w:val="000105A9"/>
    <w:rsid w:val="000125A5"/>
    <w:rsid w:val="000144FC"/>
    <w:rsid w:val="00014A13"/>
    <w:rsid w:val="000160DB"/>
    <w:rsid w:val="00020425"/>
    <w:rsid w:val="0002048A"/>
    <w:rsid w:val="000230C8"/>
    <w:rsid w:val="00023619"/>
    <w:rsid w:val="000265EA"/>
    <w:rsid w:val="000343D3"/>
    <w:rsid w:val="00035205"/>
    <w:rsid w:val="00036D45"/>
    <w:rsid w:val="000374E9"/>
    <w:rsid w:val="00041613"/>
    <w:rsid w:val="00050713"/>
    <w:rsid w:val="00051D5C"/>
    <w:rsid w:val="00052454"/>
    <w:rsid w:val="0005252A"/>
    <w:rsid w:val="00056024"/>
    <w:rsid w:val="000574CC"/>
    <w:rsid w:val="00057BC3"/>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926B3"/>
    <w:rsid w:val="00094A58"/>
    <w:rsid w:val="000A043A"/>
    <w:rsid w:val="000A0D39"/>
    <w:rsid w:val="000A1A10"/>
    <w:rsid w:val="000A2A5F"/>
    <w:rsid w:val="000A64D2"/>
    <w:rsid w:val="000B07C0"/>
    <w:rsid w:val="000B2E5A"/>
    <w:rsid w:val="000B4796"/>
    <w:rsid w:val="000B59CB"/>
    <w:rsid w:val="000B5AC1"/>
    <w:rsid w:val="000B65EE"/>
    <w:rsid w:val="000C036C"/>
    <w:rsid w:val="000C043D"/>
    <w:rsid w:val="000C1507"/>
    <w:rsid w:val="000C1C2B"/>
    <w:rsid w:val="000C269E"/>
    <w:rsid w:val="000C3390"/>
    <w:rsid w:val="000C467B"/>
    <w:rsid w:val="000C782D"/>
    <w:rsid w:val="000C7BB4"/>
    <w:rsid w:val="000D01DB"/>
    <w:rsid w:val="000D1DA0"/>
    <w:rsid w:val="000D3881"/>
    <w:rsid w:val="000D5967"/>
    <w:rsid w:val="000D66AF"/>
    <w:rsid w:val="000D73BF"/>
    <w:rsid w:val="000D7F5B"/>
    <w:rsid w:val="000E0068"/>
    <w:rsid w:val="000E13B1"/>
    <w:rsid w:val="000E18A6"/>
    <w:rsid w:val="000E2E35"/>
    <w:rsid w:val="000E2F22"/>
    <w:rsid w:val="000E35AF"/>
    <w:rsid w:val="000E5431"/>
    <w:rsid w:val="000E5681"/>
    <w:rsid w:val="000F1017"/>
    <w:rsid w:val="000F3362"/>
    <w:rsid w:val="000F47F5"/>
    <w:rsid w:val="000F4D26"/>
    <w:rsid w:val="000F59FB"/>
    <w:rsid w:val="000F5E55"/>
    <w:rsid w:val="000F6093"/>
    <w:rsid w:val="000F7466"/>
    <w:rsid w:val="0010086E"/>
    <w:rsid w:val="001042E1"/>
    <w:rsid w:val="0011087C"/>
    <w:rsid w:val="00112A6E"/>
    <w:rsid w:val="00112EDB"/>
    <w:rsid w:val="0011371C"/>
    <w:rsid w:val="00114377"/>
    <w:rsid w:val="00116264"/>
    <w:rsid w:val="001176AC"/>
    <w:rsid w:val="001230A0"/>
    <w:rsid w:val="00124AB9"/>
    <w:rsid w:val="00126BA4"/>
    <w:rsid w:val="00126F98"/>
    <w:rsid w:val="0013044E"/>
    <w:rsid w:val="00130C1B"/>
    <w:rsid w:val="001320DB"/>
    <w:rsid w:val="00133CEB"/>
    <w:rsid w:val="00137A24"/>
    <w:rsid w:val="00144C91"/>
    <w:rsid w:val="00146947"/>
    <w:rsid w:val="00147141"/>
    <w:rsid w:val="0014722D"/>
    <w:rsid w:val="001536B2"/>
    <w:rsid w:val="00155B41"/>
    <w:rsid w:val="0015669A"/>
    <w:rsid w:val="001571C1"/>
    <w:rsid w:val="00157F04"/>
    <w:rsid w:val="00162508"/>
    <w:rsid w:val="0016271B"/>
    <w:rsid w:val="00164716"/>
    <w:rsid w:val="00166097"/>
    <w:rsid w:val="00166E6D"/>
    <w:rsid w:val="00167C0F"/>
    <w:rsid w:val="001726D4"/>
    <w:rsid w:val="001750A0"/>
    <w:rsid w:val="0017585B"/>
    <w:rsid w:val="00176850"/>
    <w:rsid w:val="001818D8"/>
    <w:rsid w:val="001827CC"/>
    <w:rsid w:val="0018426D"/>
    <w:rsid w:val="00184490"/>
    <w:rsid w:val="001844C6"/>
    <w:rsid w:val="001845EF"/>
    <w:rsid w:val="00184B03"/>
    <w:rsid w:val="001874D7"/>
    <w:rsid w:val="0019068B"/>
    <w:rsid w:val="00191308"/>
    <w:rsid w:val="00191F09"/>
    <w:rsid w:val="001942E7"/>
    <w:rsid w:val="00194B60"/>
    <w:rsid w:val="00195D19"/>
    <w:rsid w:val="00196EBA"/>
    <w:rsid w:val="001A3352"/>
    <w:rsid w:val="001A3695"/>
    <w:rsid w:val="001B1992"/>
    <w:rsid w:val="001B1B2B"/>
    <w:rsid w:val="001B6D41"/>
    <w:rsid w:val="001B795B"/>
    <w:rsid w:val="001C145F"/>
    <w:rsid w:val="001C2C17"/>
    <w:rsid w:val="001C2D7B"/>
    <w:rsid w:val="001C31C0"/>
    <w:rsid w:val="001C551F"/>
    <w:rsid w:val="001D3417"/>
    <w:rsid w:val="001D39F8"/>
    <w:rsid w:val="001D3B02"/>
    <w:rsid w:val="001D5ACC"/>
    <w:rsid w:val="001D63D0"/>
    <w:rsid w:val="001D6A54"/>
    <w:rsid w:val="001E04BC"/>
    <w:rsid w:val="001E2412"/>
    <w:rsid w:val="001E3629"/>
    <w:rsid w:val="001E3E6C"/>
    <w:rsid w:val="001E6421"/>
    <w:rsid w:val="001E6674"/>
    <w:rsid w:val="001E7332"/>
    <w:rsid w:val="001F302E"/>
    <w:rsid w:val="001F44D3"/>
    <w:rsid w:val="001F5040"/>
    <w:rsid w:val="001F5BF9"/>
    <w:rsid w:val="001F797E"/>
    <w:rsid w:val="0020269C"/>
    <w:rsid w:val="00202D57"/>
    <w:rsid w:val="0020374A"/>
    <w:rsid w:val="002071C2"/>
    <w:rsid w:val="00207596"/>
    <w:rsid w:val="002076AE"/>
    <w:rsid w:val="002106E3"/>
    <w:rsid w:val="00211075"/>
    <w:rsid w:val="002146AD"/>
    <w:rsid w:val="002147C5"/>
    <w:rsid w:val="002162C2"/>
    <w:rsid w:val="00224825"/>
    <w:rsid w:val="00226225"/>
    <w:rsid w:val="00232CFD"/>
    <w:rsid w:val="00232D3E"/>
    <w:rsid w:val="00233B50"/>
    <w:rsid w:val="0023624D"/>
    <w:rsid w:val="00240884"/>
    <w:rsid w:val="00241406"/>
    <w:rsid w:val="00243399"/>
    <w:rsid w:val="00243A45"/>
    <w:rsid w:val="002448CB"/>
    <w:rsid w:val="00247DAF"/>
    <w:rsid w:val="0025626D"/>
    <w:rsid w:val="00256560"/>
    <w:rsid w:val="00256624"/>
    <w:rsid w:val="00257F30"/>
    <w:rsid w:val="00260CB3"/>
    <w:rsid w:val="00262ACE"/>
    <w:rsid w:val="00263D7E"/>
    <w:rsid w:val="00265C0D"/>
    <w:rsid w:val="0026655E"/>
    <w:rsid w:val="002715E9"/>
    <w:rsid w:val="0027240B"/>
    <w:rsid w:val="00274C38"/>
    <w:rsid w:val="00274DED"/>
    <w:rsid w:val="0027759D"/>
    <w:rsid w:val="00280B29"/>
    <w:rsid w:val="00283EA9"/>
    <w:rsid w:val="002857D1"/>
    <w:rsid w:val="002953E2"/>
    <w:rsid w:val="00297C2D"/>
    <w:rsid w:val="002A0A44"/>
    <w:rsid w:val="002A11B8"/>
    <w:rsid w:val="002A175E"/>
    <w:rsid w:val="002A7D81"/>
    <w:rsid w:val="002B07AB"/>
    <w:rsid w:val="002B118F"/>
    <w:rsid w:val="002B1416"/>
    <w:rsid w:val="002B23F8"/>
    <w:rsid w:val="002B4A7C"/>
    <w:rsid w:val="002B6B22"/>
    <w:rsid w:val="002B742D"/>
    <w:rsid w:val="002B78E8"/>
    <w:rsid w:val="002B790E"/>
    <w:rsid w:val="002B7B5A"/>
    <w:rsid w:val="002C02B3"/>
    <w:rsid w:val="002C37A5"/>
    <w:rsid w:val="002C6D6D"/>
    <w:rsid w:val="002D0F64"/>
    <w:rsid w:val="002D21C9"/>
    <w:rsid w:val="002D2547"/>
    <w:rsid w:val="002D2577"/>
    <w:rsid w:val="002D2A80"/>
    <w:rsid w:val="002D2D1D"/>
    <w:rsid w:val="002D7AA5"/>
    <w:rsid w:val="002E0ED2"/>
    <w:rsid w:val="002E3000"/>
    <w:rsid w:val="002E34C5"/>
    <w:rsid w:val="002E3829"/>
    <w:rsid w:val="002E4E4D"/>
    <w:rsid w:val="002E5E0C"/>
    <w:rsid w:val="002E6528"/>
    <w:rsid w:val="002E70AC"/>
    <w:rsid w:val="002F3731"/>
    <w:rsid w:val="002F5D49"/>
    <w:rsid w:val="002F6454"/>
    <w:rsid w:val="002F647B"/>
    <w:rsid w:val="00301647"/>
    <w:rsid w:val="00302532"/>
    <w:rsid w:val="0030259D"/>
    <w:rsid w:val="00302A0A"/>
    <w:rsid w:val="0030427C"/>
    <w:rsid w:val="0031211F"/>
    <w:rsid w:val="00315198"/>
    <w:rsid w:val="00316DFD"/>
    <w:rsid w:val="003172A7"/>
    <w:rsid w:val="00317D2D"/>
    <w:rsid w:val="003213BA"/>
    <w:rsid w:val="00325018"/>
    <w:rsid w:val="00325069"/>
    <w:rsid w:val="00325E0A"/>
    <w:rsid w:val="00326E64"/>
    <w:rsid w:val="0032736D"/>
    <w:rsid w:val="003277B4"/>
    <w:rsid w:val="00331625"/>
    <w:rsid w:val="00331931"/>
    <w:rsid w:val="003333A4"/>
    <w:rsid w:val="003337C6"/>
    <w:rsid w:val="003347F7"/>
    <w:rsid w:val="00336AA9"/>
    <w:rsid w:val="00340F88"/>
    <w:rsid w:val="00341D4C"/>
    <w:rsid w:val="003425C3"/>
    <w:rsid w:val="00343100"/>
    <w:rsid w:val="00343F93"/>
    <w:rsid w:val="00346ADF"/>
    <w:rsid w:val="00347812"/>
    <w:rsid w:val="0035068B"/>
    <w:rsid w:val="00350E22"/>
    <w:rsid w:val="0035206E"/>
    <w:rsid w:val="00361ECA"/>
    <w:rsid w:val="0036258B"/>
    <w:rsid w:val="00363530"/>
    <w:rsid w:val="00364AAB"/>
    <w:rsid w:val="00366E1B"/>
    <w:rsid w:val="00370000"/>
    <w:rsid w:val="003720D5"/>
    <w:rsid w:val="003753F7"/>
    <w:rsid w:val="003756A1"/>
    <w:rsid w:val="003763C4"/>
    <w:rsid w:val="003803CA"/>
    <w:rsid w:val="003824AA"/>
    <w:rsid w:val="00383FF6"/>
    <w:rsid w:val="00386180"/>
    <w:rsid w:val="003864DD"/>
    <w:rsid w:val="00390250"/>
    <w:rsid w:val="00391B50"/>
    <w:rsid w:val="0039477E"/>
    <w:rsid w:val="00395B5C"/>
    <w:rsid w:val="00396D03"/>
    <w:rsid w:val="003972DF"/>
    <w:rsid w:val="003A096B"/>
    <w:rsid w:val="003A2875"/>
    <w:rsid w:val="003A4666"/>
    <w:rsid w:val="003A5DC4"/>
    <w:rsid w:val="003A6DBE"/>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279"/>
    <w:rsid w:val="003D1B95"/>
    <w:rsid w:val="003D44EC"/>
    <w:rsid w:val="003D5307"/>
    <w:rsid w:val="003D70B4"/>
    <w:rsid w:val="003D70C8"/>
    <w:rsid w:val="003D7FE5"/>
    <w:rsid w:val="003E0211"/>
    <w:rsid w:val="003E09EF"/>
    <w:rsid w:val="003E1BAD"/>
    <w:rsid w:val="003E329B"/>
    <w:rsid w:val="003E4809"/>
    <w:rsid w:val="003E48F1"/>
    <w:rsid w:val="003E5011"/>
    <w:rsid w:val="003E55A4"/>
    <w:rsid w:val="003E5977"/>
    <w:rsid w:val="003F009A"/>
    <w:rsid w:val="003F08B3"/>
    <w:rsid w:val="003F0C6C"/>
    <w:rsid w:val="003F1A32"/>
    <w:rsid w:val="003F22B5"/>
    <w:rsid w:val="003F38A2"/>
    <w:rsid w:val="003F3A15"/>
    <w:rsid w:val="003F5238"/>
    <w:rsid w:val="003F782D"/>
    <w:rsid w:val="003F799E"/>
    <w:rsid w:val="004015D5"/>
    <w:rsid w:val="0040292D"/>
    <w:rsid w:val="0040743E"/>
    <w:rsid w:val="00407885"/>
    <w:rsid w:val="004100F3"/>
    <w:rsid w:val="00414C7D"/>
    <w:rsid w:val="00417333"/>
    <w:rsid w:val="004178B0"/>
    <w:rsid w:val="00417EBE"/>
    <w:rsid w:val="0042583F"/>
    <w:rsid w:val="00425F55"/>
    <w:rsid w:val="00431B86"/>
    <w:rsid w:val="004327E1"/>
    <w:rsid w:val="004335DB"/>
    <w:rsid w:val="00433F43"/>
    <w:rsid w:val="00436175"/>
    <w:rsid w:val="00437842"/>
    <w:rsid w:val="0044145F"/>
    <w:rsid w:val="004435BE"/>
    <w:rsid w:val="00452294"/>
    <w:rsid w:val="00452568"/>
    <w:rsid w:val="004547DD"/>
    <w:rsid w:val="004551B7"/>
    <w:rsid w:val="00455994"/>
    <w:rsid w:val="0045796F"/>
    <w:rsid w:val="00460B70"/>
    <w:rsid w:val="00461991"/>
    <w:rsid w:val="00461BBF"/>
    <w:rsid w:val="004620C7"/>
    <w:rsid w:val="00463E1E"/>
    <w:rsid w:val="00466199"/>
    <w:rsid w:val="004664F8"/>
    <w:rsid w:val="00467742"/>
    <w:rsid w:val="00472EC8"/>
    <w:rsid w:val="004744DC"/>
    <w:rsid w:val="00475145"/>
    <w:rsid w:val="00475624"/>
    <w:rsid w:val="00475F2F"/>
    <w:rsid w:val="00481819"/>
    <w:rsid w:val="00481A08"/>
    <w:rsid w:val="0048263F"/>
    <w:rsid w:val="00482D14"/>
    <w:rsid w:val="0048370C"/>
    <w:rsid w:val="0048450F"/>
    <w:rsid w:val="00484F7A"/>
    <w:rsid w:val="00485BF8"/>
    <w:rsid w:val="0048667B"/>
    <w:rsid w:val="00486D7B"/>
    <w:rsid w:val="00487817"/>
    <w:rsid w:val="00490510"/>
    <w:rsid w:val="004908CB"/>
    <w:rsid w:val="00494963"/>
    <w:rsid w:val="00494D37"/>
    <w:rsid w:val="00495821"/>
    <w:rsid w:val="004B2721"/>
    <w:rsid w:val="004B40AB"/>
    <w:rsid w:val="004B5875"/>
    <w:rsid w:val="004C118A"/>
    <w:rsid w:val="004C2263"/>
    <w:rsid w:val="004C4381"/>
    <w:rsid w:val="004C54D9"/>
    <w:rsid w:val="004C6BD5"/>
    <w:rsid w:val="004C6E0D"/>
    <w:rsid w:val="004C7AF2"/>
    <w:rsid w:val="004D085E"/>
    <w:rsid w:val="004D35EA"/>
    <w:rsid w:val="004D3ACE"/>
    <w:rsid w:val="004D5882"/>
    <w:rsid w:val="004E08E2"/>
    <w:rsid w:val="004E2A77"/>
    <w:rsid w:val="004E2E7E"/>
    <w:rsid w:val="004E60F4"/>
    <w:rsid w:val="004E78B5"/>
    <w:rsid w:val="004F03F3"/>
    <w:rsid w:val="004F0FB3"/>
    <w:rsid w:val="004F342B"/>
    <w:rsid w:val="004F620D"/>
    <w:rsid w:val="004F6B8D"/>
    <w:rsid w:val="00500795"/>
    <w:rsid w:val="00500C6B"/>
    <w:rsid w:val="005021BD"/>
    <w:rsid w:val="00503F05"/>
    <w:rsid w:val="00504037"/>
    <w:rsid w:val="005040D3"/>
    <w:rsid w:val="005042EF"/>
    <w:rsid w:val="005047D7"/>
    <w:rsid w:val="00507966"/>
    <w:rsid w:val="00510E09"/>
    <w:rsid w:val="0051110F"/>
    <w:rsid w:val="00513D22"/>
    <w:rsid w:val="00514545"/>
    <w:rsid w:val="00531BE4"/>
    <w:rsid w:val="00532360"/>
    <w:rsid w:val="005327B9"/>
    <w:rsid w:val="0053703D"/>
    <w:rsid w:val="00542301"/>
    <w:rsid w:val="005423F5"/>
    <w:rsid w:val="00542CE9"/>
    <w:rsid w:val="00544D97"/>
    <w:rsid w:val="0054506E"/>
    <w:rsid w:val="00551404"/>
    <w:rsid w:val="005516A4"/>
    <w:rsid w:val="005542F9"/>
    <w:rsid w:val="00554A12"/>
    <w:rsid w:val="00560B95"/>
    <w:rsid w:val="00564A7B"/>
    <w:rsid w:val="00565168"/>
    <w:rsid w:val="005664B7"/>
    <w:rsid w:val="00566E04"/>
    <w:rsid w:val="00567E8F"/>
    <w:rsid w:val="00573E71"/>
    <w:rsid w:val="00576965"/>
    <w:rsid w:val="00576B05"/>
    <w:rsid w:val="005808C1"/>
    <w:rsid w:val="00582406"/>
    <w:rsid w:val="00582B69"/>
    <w:rsid w:val="0058650B"/>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D21B8"/>
    <w:rsid w:val="005D3BC3"/>
    <w:rsid w:val="005D5B92"/>
    <w:rsid w:val="005D5C8A"/>
    <w:rsid w:val="005E4088"/>
    <w:rsid w:val="005E5527"/>
    <w:rsid w:val="005E69D4"/>
    <w:rsid w:val="005F0414"/>
    <w:rsid w:val="005F277D"/>
    <w:rsid w:val="005F2FD2"/>
    <w:rsid w:val="005F3BFD"/>
    <w:rsid w:val="005F4F22"/>
    <w:rsid w:val="005F4F76"/>
    <w:rsid w:val="006039DD"/>
    <w:rsid w:val="00603CE8"/>
    <w:rsid w:val="00604B4C"/>
    <w:rsid w:val="00605ECF"/>
    <w:rsid w:val="00607178"/>
    <w:rsid w:val="00610636"/>
    <w:rsid w:val="00612169"/>
    <w:rsid w:val="0061394B"/>
    <w:rsid w:val="00615ADB"/>
    <w:rsid w:val="00616561"/>
    <w:rsid w:val="00616D97"/>
    <w:rsid w:val="00621E35"/>
    <w:rsid w:val="00622CE8"/>
    <w:rsid w:val="00622EC9"/>
    <w:rsid w:val="00623492"/>
    <w:rsid w:val="00624360"/>
    <w:rsid w:val="006310A2"/>
    <w:rsid w:val="00632211"/>
    <w:rsid w:val="00632F36"/>
    <w:rsid w:val="006364F7"/>
    <w:rsid w:val="00636938"/>
    <w:rsid w:val="0063799B"/>
    <w:rsid w:val="00637E93"/>
    <w:rsid w:val="00641ED0"/>
    <w:rsid w:val="006451D0"/>
    <w:rsid w:val="006473C2"/>
    <w:rsid w:val="00650735"/>
    <w:rsid w:val="00650F8A"/>
    <w:rsid w:val="0065529A"/>
    <w:rsid w:val="00657045"/>
    <w:rsid w:val="0065738D"/>
    <w:rsid w:val="0065751D"/>
    <w:rsid w:val="006577CC"/>
    <w:rsid w:val="0066034F"/>
    <w:rsid w:val="0066072A"/>
    <w:rsid w:val="00661F2B"/>
    <w:rsid w:val="00663073"/>
    <w:rsid w:val="006630A2"/>
    <w:rsid w:val="00663F50"/>
    <w:rsid w:val="00664075"/>
    <w:rsid w:val="0066566F"/>
    <w:rsid w:val="00665B44"/>
    <w:rsid w:val="00672F1B"/>
    <w:rsid w:val="006730D3"/>
    <w:rsid w:val="0067478C"/>
    <w:rsid w:val="006757AD"/>
    <w:rsid w:val="006769CB"/>
    <w:rsid w:val="00677476"/>
    <w:rsid w:val="00677CF9"/>
    <w:rsid w:val="006838F2"/>
    <w:rsid w:val="00685CEE"/>
    <w:rsid w:val="00691348"/>
    <w:rsid w:val="00691A6F"/>
    <w:rsid w:val="00691F19"/>
    <w:rsid w:val="006A0EE1"/>
    <w:rsid w:val="006A384C"/>
    <w:rsid w:val="006A69CB"/>
    <w:rsid w:val="006A741E"/>
    <w:rsid w:val="006B0408"/>
    <w:rsid w:val="006B286A"/>
    <w:rsid w:val="006B36BE"/>
    <w:rsid w:val="006B45FE"/>
    <w:rsid w:val="006B4CED"/>
    <w:rsid w:val="006B511E"/>
    <w:rsid w:val="006B5BAA"/>
    <w:rsid w:val="006B6971"/>
    <w:rsid w:val="006B6A6F"/>
    <w:rsid w:val="006B772C"/>
    <w:rsid w:val="006C287F"/>
    <w:rsid w:val="006C5FC0"/>
    <w:rsid w:val="006C6F24"/>
    <w:rsid w:val="006C756E"/>
    <w:rsid w:val="006D1319"/>
    <w:rsid w:val="006D147C"/>
    <w:rsid w:val="006D2896"/>
    <w:rsid w:val="006D35DB"/>
    <w:rsid w:val="006D3893"/>
    <w:rsid w:val="006D51BE"/>
    <w:rsid w:val="006E01BF"/>
    <w:rsid w:val="006E0FAB"/>
    <w:rsid w:val="006E1136"/>
    <w:rsid w:val="006E589A"/>
    <w:rsid w:val="006E61ED"/>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302A"/>
    <w:rsid w:val="00715639"/>
    <w:rsid w:val="00717478"/>
    <w:rsid w:val="007176B9"/>
    <w:rsid w:val="007221FD"/>
    <w:rsid w:val="00722328"/>
    <w:rsid w:val="0072483E"/>
    <w:rsid w:val="00724E16"/>
    <w:rsid w:val="007257E3"/>
    <w:rsid w:val="00727F09"/>
    <w:rsid w:val="00732305"/>
    <w:rsid w:val="00732488"/>
    <w:rsid w:val="0073412F"/>
    <w:rsid w:val="00735346"/>
    <w:rsid w:val="0073663C"/>
    <w:rsid w:val="00737F14"/>
    <w:rsid w:val="0074073C"/>
    <w:rsid w:val="00744138"/>
    <w:rsid w:val="00745894"/>
    <w:rsid w:val="007475B7"/>
    <w:rsid w:val="00747643"/>
    <w:rsid w:val="00751956"/>
    <w:rsid w:val="00753CBF"/>
    <w:rsid w:val="0075649A"/>
    <w:rsid w:val="00756864"/>
    <w:rsid w:val="00760D0A"/>
    <w:rsid w:val="007619C4"/>
    <w:rsid w:val="00762184"/>
    <w:rsid w:val="00762550"/>
    <w:rsid w:val="007628C6"/>
    <w:rsid w:val="00764D97"/>
    <w:rsid w:val="007661B9"/>
    <w:rsid w:val="007663EC"/>
    <w:rsid w:val="00766495"/>
    <w:rsid w:val="00766D74"/>
    <w:rsid w:val="007706BC"/>
    <w:rsid w:val="00772DF7"/>
    <w:rsid w:val="00781783"/>
    <w:rsid w:val="00781974"/>
    <w:rsid w:val="00782A2E"/>
    <w:rsid w:val="0078301F"/>
    <w:rsid w:val="007837DE"/>
    <w:rsid w:val="00783FF2"/>
    <w:rsid w:val="00787561"/>
    <w:rsid w:val="00787BEB"/>
    <w:rsid w:val="007909A5"/>
    <w:rsid w:val="00792D28"/>
    <w:rsid w:val="007A0760"/>
    <w:rsid w:val="007A20D0"/>
    <w:rsid w:val="007B1032"/>
    <w:rsid w:val="007B6990"/>
    <w:rsid w:val="007B71B3"/>
    <w:rsid w:val="007B724E"/>
    <w:rsid w:val="007C1203"/>
    <w:rsid w:val="007C22E7"/>
    <w:rsid w:val="007C42C1"/>
    <w:rsid w:val="007C5053"/>
    <w:rsid w:val="007C6961"/>
    <w:rsid w:val="007C6D10"/>
    <w:rsid w:val="007D59C9"/>
    <w:rsid w:val="007D59F2"/>
    <w:rsid w:val="007D6B92"/>
    <w:rsid w:val="007E0CF1"/>
    <w:rsid w:val="007E0D66"/>
    <w:rsid w:val="007E16E5"/>
    <w:rsid w:val="007F1526"/>
    <w:rsid w:val="007F17D1"/>
    <w:rsid w:val="007F1A74"/>
    <w:rsid w:val="007F2AD9"/>
    <w:rsid w:val="007F360E"/>
    <w:rsid w:val="007F62CF"/>
    <w:rsid w:val="007F7114"/>
    <w:rsid w:val="007F72CD"/>
    <w:rsid w:val="007F7562"/>
    <w:rsid w:val="00801064"/>
    <w:rsid w:val="00801DBE"/>
    <w:rsid w:val="00803778"/>
    <w:rsid w:val="00803C17"/>
    <w:rsid w:val="00805BCE"/>
    <w:rsid w:val="008078A9"/>
    <w:rsid w:val="0081135E"/>
    <w:rsid w:val="00812A7A"/>
    <w:rsid w:val="0081324A"/>
    <w:rsid w:val="008134B5"/>
    <w:rsid w:val="008144A0"/>
    <w:rsid w:val="008145A3"/>
    <w:rsid w:val="008145DD"/>
    <w:rsid w:val="00815342"/>
    <w:rsid w:val="008177C6"/>
    <w:rsid w:val="00817B01"/>
    <w:rsid w:val="00820259"/>
    <w:rsid w:val="00822BCD"/>
    <w:rsid w:val="00822E93"/>
    <w:rsid w:val="0082411F"/>
    <w:rsid w:val="0082494B"/>
    <w:rsid w:val="00824C66"/>
    <w:rsid w:val="00825E26"/>
    <w:rsid w:val="008263F2"/>
    <w:rsid w:val="00830A76"/>
    <w:rsid w:val="00831C65"/>
    <w:rsid w:val="008343EF"/>
    <w:rsid w:val="008346EA"/>
    <w:rsid w:val="00834C64"/>
    <w:rsid w:val="00835C6A"/>
    <w:rsid w:val="00840F2D"/>
    <w:rsid w:val="008473E4"/>
    <w:rsid w:val="00852D2C"/>
    <w:rsid w:val="00853F2C"/>
    <w:rsid w:val="00854EF1"/>
    <w:rsid w:val="008555C1"/>
    <w:rsid w:val="008625C9"/>
    <w:rsid w:val="00864874"/>
    <w:rsid w:val="0086499C"/>
    <w:rsid w:val="00864D16"/>
    <w:rsid w:val="00867D73"/>
    <w:rsid w:val="00870A00"/>
    <w:rsid w:val="008717E0"/>
    <w:rsid w:val="008719A5"/>
    <w:rsid w:val="00873815"/>
    <w:rsid w:val="00877F54"/>
    <w:rsid w:val="008802B7"/>
    <w:rsid w:val="00880AE5"/>
    <w:rsid w:val="00880E76"/>
    <w:rsid w:val="008857B7"/>
    <w:rsid w:val="00890263"/>
    <w:rsid w:val="00890CB1"/>
    <w:rsid w:val="0089150A"/>
    <w:rsid w:val="008916B5"/>
    <w:rsid w:val="008927EC"/>
    <w:rsid w:val="00894DB9"/>
    <w:rsid w:val="0089760C"/>
    <w:rsid w:val="008A0023"/>
    <w:rsid w:val="008A0940"/>
    <w:rsid w:val="008A16EF"/>
    <w:rsid w:val="008A4B37"/>
    <w:rsid w:val="008A4EA9"/>
    <w:rsid w:val="008A67A7"/>
    <w:rsid w:val="008A6B90"/>
    <w:rsid w:val="008A7136"/>
    <w:rsid w:val="008A7EC1"/>
    <w:rsid w:val="008B10A3"/>
    <w:rsid w:val="008B5C7A"/>
    <w:rsid w:val="008C2659"/>
    <w:rsid w:val="008C29E4"/>
    <w:rsid w:val="008C4EDA"/>
    <w:rsid w:val="008C6D20"/>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014C"/>
    <w:rsid w:val="008F2B26"/>
    <w:rsid w:val="008F64E2"/>
    <w:rsid w:val="0090040F"/>
    <w:rsid w:val="00900C0C"/>
    <w:rsid w:val="009056C1"/>
    <w:rsid w:val="0091073A"/>
    <w:rsid w:val="00910879"/>
    <w:rsid w:val="00912521"/>
    <w:rsid w:val="00920056"/>
    <w:rsid w:val="009232A6"/>
    <w:rsid w:val="00924A46"/>
    <w:rsid w:val="00924D96"/>
    <w:rsid w:val="0092562A"/>
    <w:rsid w:val="0093292E"/>
    <w:rsid w:val="009337AC"/>
    <w:rsid w:val="00940A90"/>
    <w:rsid w:val="00940B40"/>
    <w:rsid w:val="009435EC"/>
    <w:rsid w:val="00943D1A"/>
    <w:rsid w:val="009444DE"/>
    <w:rsid w:val="009445B6"/>
    <w:rsid w:val="009446B4"/>
    <w:rsid w:val="00945CD2"/>
    <w:rsid w:val="0094658C"/>
    <w:rsid w:val="009473A0"/>
    <w:rsid w:val="009507FC"/>
    <w:rsid w:val="00952061"/>
    <w:rsid w:val="0095276B"/>
    <w:rsid w:val="00952E11"/>
    <w:rsid w:val="00953333"/>
    <w:rsid w:val="00964840"/>
    <w:rsid w:val="00964BBF"/>
    <w:rsid w:val="00967BB4"/>
    <w:rsid w:val="00970331"/>
    <w:rsid w:val="00971624"/>
    <w:rsid w:val="0097248E"/>
    <w:rsid w:val="00973EB7"/>
    <w:rsid w:val="0097651A"/>
    <w:rsid w:val="009773C9"/>
    <w:rsid w:val="00977AB7"/>
    <w:rsid w:val="00980559"/>
    <w:rsid w:val="0098228C"/>
    <w:rsid w:val="009832DC"/>
    <w:rsid w:val="00983A6D"/>
    <w:rsid w:val="009840C0"/>
    <w:rsid w:val="00984322"/>
    <w:rsid w:val="009848DE"/>
    <w:rsid w:val="009857A3"/>
    <w:rsid w:val="009870F0"/>
    <w:rsid w:val="00990EE2"/>
    <w:rsid w:val="00993EF6"/>
    <w:rsid w:val="0099409A"/>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6BC"/>
    <w:rsid w:val="009D01DD"/>
    <w:rsid w:val="009D0B08"/>
    <w:rsid w:val="009D11B3"/>
    <w:rsid w:val="009D1D76"/>
    <w:rsid w:val="009D246B"/>
    <w:rsid w:val="009D4706"/>
    <w:rsid w:val="009E0460"/>
    <w:rsid w:val="009E1A8E"/>
    <w:rsid w:val="009E218A"/>
    <w:rsid w:val="009E2D1A"/>
    <w:rsid w:val="009E2EA2"/>
    <w:rsid w:val="009E51E9"/>
    <w:rsid w:val="009E6F06"/>
    <w:rsid w:val="009E7348"/>
    <w:rsid w:val="009F1014"/>
    <w:rsid w:val="009F20B0"/>
    <w:rsid w:val="009F28C7"/>
    <w:rsid w:val="009F7F58"/>
    <w:rsid w:val="00A03654"/>
    <w:rsid w:val="00A037E2"/>
    <w:rsid w:val="00A04B61"/>
    <w:rsid w:val="00A05B0B"/>
    <w:rsid w:val="00A1221D"/>
    <w:rsid w:val="00A13BA1"/>
    <w:rsid w:val="00A158EC"/>
    <w:rsid w:val="00A15DB3"/>
    <w:rsid w:val="00A20D7A"/>
    <w:rsid w:val="00A215CB"/>
    <w:rsid w:val="00A22805"/>
    <w:rsid w:val="00A2368D"/>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47B3"/>
    <w:rsid w:val="00A56619"/>
    <w:rsid w:val="00A6114F"/>
    <w:rsid w:val="00A61A2B"/>
    <w:rsid w:val="00A62989"/>
    <w:rsid w:val="00A63094"/>
    <w:rsid w:val="00A648A0"/>
    <w:rsid w:val="00A65B67"/>
    <w:rsid w:val="00A677D1"/>
    <w:rsid w:val="00A67A2C"/>
    <w:rsid w:val="00A70AE6"/>
    <w:rsid w:val="00A71D1D"/>
    <w:rsid w:val="00A73F7E"/>
    <w:rsid w:val="00A76776"/>
    <w:rsid w:val="00A769E9"/>
    <w:rsid w:val="00A77C95"/>
    <w:rsid w:val="00A82495"/>
    <w:rsid w:val="00A82DC0"/>
    <w:rsid w:val="00A838A2"/>
    <w:rsid w:val="00A83F62"/>
    <w:rsid w:val="00A90615"/>
    <w:rsid w:val="00A91763"/>
    <w:rsid w:val="00A94064"/>
    <w:rsid w:val="00A9594B"/>
    <w:rsid w:val="00A9735A"/>
    <w:rsid w:val="00A97EF3"/>
    <w:rsid w:val="00AA318A"/>
    <w:rsid w:val="00AA50EC"/>
    <w:rsid w:val="00AB36A1"/>
    <w:rsid w:val="00AC001C"/>
    <w:rsid w:val="00AC277F"/>
    <w:rsid w:val="00AC6A9B"/>
    <w:rsid w:val="00AC7F8F"/>
    <w:rsid w:val="00AD0C45"/>
    <w:rsid w:val="00AD1B5F"/>
    <w:rsid w:val="00AD28F7"/>
    <w:rsid w:val="00AD2CD6"/>
    <w:rsid w:val="00AD3168"/>
    <w:rsid w:val="00AD5316"/>
    <w:rsid w:val="00AD57A8"/>
    <w:rsid w:val="00AD78C5"/>
    <w:rsid w:val="00AE1158"/>
    <w:rsid w:val="00AE11FA"/>
    <w:rsid w:val="00AE1838"/>
    <w:rsid w:val="00AE4ABE"/>
    <w:rsid w:val="00AE4D23"/>
    <w:rsid w:val="00AE5749"/>
    <w:rsid w:val="00AE6FD4"/>
    <w:rsid w:val="00AE752E"/>
    <w:rsid w:val="00AF1E3A"/>
    <w:rsid w:val="00AF1F43"/>
    <w:rsid w:val="00AF276B"/>
    <w:rsid w:val="00AF28CA"/>
    <w:rsid w:val="00AF5F7A"/>
    <w:rsid w:val="00B01604"/>
    <w:rsid w:val="00B03007"/>
    <w:rsid w:val="00B0402D"/>
    <w:rsid w:val="00B149D2"/>
    <w:rsid w:val="00B16D88"/>
    <w:rsid w:val="00B16E6E"/>
    <w:rsid w:val="00B1714D"/>
    <w:rsid w:val="00B202A1"/>
    <w:rsid w:val="00B206ED"/>
    <w:rsid w:val="00B213F2"/>
    <w:rsid w:val="00B25250"/>
    <w:rsid w:val="00B26540"/>
    <w:rsid w:val="00B316A1"/>
    <w:rsid w:val="00B319DC"/>
    <w:rsid w:val="00B34754"/>
    <w:rsid w:val="00B34F72"/>
    <w:rsid w:val="00B35B06"/>
    <w:rsid w:val="00B36966"/>
    <w:rsid w:val="00B37969"/>
    <w:rsid w:val="00B41C17"/>
    <w:rsid w:val="00B4269D"/>
    <w:rsid w:val="00B4280D"/>
    <w:rsid w:val="00B428FF"/>
    <w:rsid w:val="00B43659"/>
    <w:rsid w:val="00B50B42"/>
    <w:rsid w:val="00B50FF0"/>
    <w:rsid w:val="00B51E7B"/>
    <w:rsid w:val="00B52A44"/>
    <w:rsid w:val="00B531EB"/>
    <w:rsid w:val="00B54DEE"/>
    <w:rsid w:val="00B57880"/>
    <w:rsid w:val="00B60235"/>
    <w:rsid w:val="00B60C9E"/>
    <w:rsid w:val="00B612D2"/>
    <w:rsid w:val="00B617FF"/>
    <w:rsid w:val="00B61A74"/>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3D42"/>
    <w:rsid w:val="00B84FDB"/>
    <w:rsid w:val="00B858D6"/>
    <w:rsid w:val="00B91935"/>
    <w:rsid w:val="00B93DAB"/>
    <w:rsid w:val="00B96793"/>
    <w:rsid w:val="00B96973"/>
    <w:rsid w:val="00BA1296"/>
    <w:rsid w:val="00BA1355"/>
    <w:rsid w:val="00BA2314"/>
    <w:rsid w:val="00BA3F94"/>
    <w:rsid w:val="00BA41F3"/>
    <w:rsid w:val="00BA4ED5"/>
    <w:rsid w:val="00BB75D1"/>
    <w:rsid w:val="00BB78B1"/>
    <w:rsid w:val="00BC030B"/>
    <w:rsid w:val="00BC1B43"/>
    <w:rsid w:val="00BC3A68"/>
    <w:rsid w:val="00BC5397"/>
    <w:rsid w:val="00BC53DE"/>
    <w:rsid w:val="00BC674F"/>
    <w:rsid w:val="00BC69FC"/>
    <w:rsid w:val="00BC6D91"/>
    <w:rsid w:val="00BC79F3"/>
    <w:rsid w:val="00BD0F5E"/>
    <w:rsid w:val="00BD17E8"/>
    <w:rsid w:val="00BD1E9F"/>
    <w:rsid w:val="00BD76DA"/>
    <w:rsid w:val="00BE174A"/>
    <w:rsid w:val="00BE489A"/>
    <w:rsid w:val="00BE5933"/>
    <w:rsid w:val="00BF0BFA"/>
    <w:rsid w:val="00BF56F0"/>
    <w:rsid w:val="00BF6B7F"/>
    <w:rsid w:val="00BF7E14"/>
    <w:rsid w:val="00C0204B"/>
    <w:rsid w:val="00C02F28"/>
    <w:rsid w:val="00C0356A"/>
    <w:rsid w:val="00C03D71"/>
    <w:rsid w:val="00C06464"/>
    <w:rsid w:val="00C13B53"/>
    <w:rsid w:val="00C15C6A"/>
    <w:rsid w:val="00C15ECF"/>
    <w:rsid w:val="00C162DB"/>
    <w:rsid w:val="00C175C2"/>
    <w:rsid w:val="00C20DFF"/>
    <w:rsid w:val="00C2398B"/>
    <w:rsid w:val="00C25EC4"/>
    <w:rsid w:val="00C263F1"/>
    <w:rsid w:val="00C2698C"/>
    <w:rsid w:val="00C27679"/>
    <w:rsid w:val="00C31760"/>
    <w:rsid w:val="00C32994"/>
    <w:rsid w:val="00C33373"/>
    <w:rsid w:val="00C339C7"/>
    <w:rsid w:val="00C36F3C"/>
    <w:rsid w:val="00C37DCF"/>
    <w:rsid w:val="00C41129"/>
    <w:rsid w:val="00C44908"/>
    <w:rsid w:val="00C4599D"/>
    <w:rsid w:val="00C548C7"/>
    <w:rsid w:val="00C54AF2"/>
    <w:rsid w:val="00C55251"/>
    <w:rsid w:val="00C554B5"/>
    <w:rsid w:val="00C57443"/>
    <w:rsid w:val="00C57A78"/>
    <w:rsid w:val="00C6084A"/>
    <w:rsid w:val="00C65F8D"/>
    <w:rsid w:val="00C70F76"/>
    <w:rsid w:val="00C725CF"/>
    <w:rsid w:val="00C74048"/>
    <w:rsid w:val="00C74225"/>
    <w:rsid w:val="00C743EE"/>
    <w:rsid w:val="00C75DB3"/>
    <w:rsid w:val="00C777E5"/>
    <w:rsid w:val="00C8043D"/>
    <w:rsid w:val="00C80953"/>
    <w:rsid w:val="00C82D8F"/>
    <w:rsid w:val="00C84519"/>
    <w:rsid w:val="00C847FA"/>
    <w:rsid w:val="00C85893"/>
    <w:rsid w:val="00C8647A"/>
    <w:rsid w:val="00C86516"/>
    <w:rsid w:val="00C90AFB"/>
    <w:rsid w:val="00C91A42"/>
    <w:rsid w:val="00C94844"/>
    <w:rsid w:val="00C94FF4"/>
    <w:rsid w:val="00C96FF1"/>
    <w:rsid w:val="00CA0ABF"/>
    <w:rsid w:val="00CA1BF5"/>
    <w:rsid w:val="00CA1D5B"/>
    <w:rsid w:val="00CA1DC7"/>
    <w:rsid w:val="00CA2E68"/>
    <w:rsid w:val="00CA37F0"/>
    <w:rsid w:val="00CA4B34"/>
    <w:rsid w:val="00CA721B"/>
    <w:rsid w:val="00CA74E0"/>
    <w:rsid w:val="00CA7636"/>
    <w:rsid w:val="00CA7B39"/>
    <w:rsid w:val="00CB0DE0"/>
    <w:rsid w:val="00CB2056"/>
    <w:rsid w:val="00CB2B67"/>
    <w:rsid w:val="00CB2F0A"/>
    <w:rsid w:val="00CB5341"/>
    <w:rsid w:val="00CC4726"/>
    <w:rsid w:val="00CC5633"/>
    <w:rsid w:val="00CC6734"/>
    <w:rsid w:val="00CD1992"/>
    <w:rsid w:val="00CD2BF8"/>
    <w:rsid w:val="00CD3943"/>
    <w:rsid w:val="00CD56D3"/>
    <w:rsid w:val="00CD6538"/>
    <w:rsid w:val="00CD7E51"/>
    <w:rsid w:val="00CE022A"/>
    <w:rsid w:val="00CE0671"/>
    <w:rsid w:val="00CE156E"/>
    <w:rsid w:val="00CE2BB8"/>
    <w:rsid w:val="00CE4C6C"/>
    <w:rsid w:val="00CF1EAD"/>
    <w:rsid w:val="00CF346F"/>
    <w:rsid w:val="00CF58FE"/>
    <w:rsid w:val="00CF5F17"/>
    <w:rsid w:val="00CF6A86"/>
    <w:rsid w:val="00D0206E"/>
    <w:rsid w:val="00D04112"/>
    <w:rsid w:val="00D049BD"/>
    <w:rsid w:val="00D05169"/>
    <w:rsid w:val="00D06726"/>
    <w:rsid w:val="00D10CCF"/>
    <w:rsid w:val="00D13148"/>
    <w:rsid w:val="00D13B54"/>
    <w:rsid w:val="00D14194"/>
    <w:rsid w:val="00D142A3"/>
    <w:rsid w:val="00D15798"/>
    <w:rsid w:val="00D17349"/>
    <w:rsid w:val="00D21666"/>
    <w:rsid w:val="00D22AE6"/>
    <w:rsid w:val="00D22E4F"/>
    <w:rsid w:val="00D2321D"/>
    <w:rsid w:val="00D2427A"/>
    <w:rsid w:val="00D25767"/>
    <w:rsid w:val="00D3295B"/>
    <w:rsid w:val="00D333B0"/>
    <w:rsid w:val="00D33449"/>
    <w:rsid w:val="00D345BA"/>
    <w:rsid w:val="00D35BC8"/>
    <w:rsid w:val="00D35C5B"/>
    <w:rsid w:val="00D3669C"/>
    <w:rsid w:val="00D437EF"/>
    <w:rsid w:val="00D43D10"/>
    <w:rsid w:val="00D45380"/>
    <w:rsid w:val="00D4710B"/>
    <w:rsid w:val="00D5184A"/>
    <w:rsid w:val="00D51E2C"/>
    <w:rsid w:val="00D570AD"/>
    <w:rsid w:val="00D5772F"/>
    <w:rsid w:val="00D57DDF"/>
    <w:rsid w:val="00D72DAB"/>
    <w:rsid w:val="00D7419E"/>
    <w:rsid w:val="00D741BC"/>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A7510"/>
    <w:rsid w:val="00DB02F7"/>
    <w:rsid w:val="00DB0EEF"/>
    <w:rsid w:val="00DB2EDD"/>
    <w:rsid w:val="00DB506A"/>
    <w:rsid w:val="00DC2DAE"/>
    <w:rsid w:val="00DC44FB"/>
    <w:rsid w:val="00DC540E"/>
    <w:rsid w:val="00DD19F5"/>
    <w:rsid w:val="00DD2C71"/>
    <w:rsid w:val="00DD7311"/>
    <w:rsid w:val="00DD74BB"/>
    <w:rsid w:val="00DD791E"/>
    <w:rsid w:val="00DE215A"/>
    <w:rsid w:val="00DE22CB"/>
    <w:rsid w:val="00DE3403"/>
    <w:rsid w:val="00DE3459"/>
    <w:rsid w:val="00DE3C95"/>
    <w:rsid w:val="00DE3E27"/>
    <w:rsid w:val="00DE4070"/>
    <w:rsid w:val="00DE6A15"/>
    <w:rsid w:val="00DF2654"/>
    <w:rsid w:val="00DF313A"/>
    <w:rsid w:val="00DF39C3"/>
    <w:rsid w:val="00DF48E6"/>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416E"/>
    <w:rsid w:val="00E26215"/>
    <w:rsid w:val="00E30243"/>
    <w:rsid w:val="00E3115B"/>
    <w:rsid w:val="00E316D8"/>
    <w:rsid w:val="00E32360"/>
    <w:rsid w:val="00E32BEA"/>
    <w:rsid w:val="00E32E84"/>
    <w:rsid w:val="00E33E6A"/>
    <w:rsid w:val="00E35BAD"/>
    <w:rsid w:val="00E37D35"/>
    <w:rsid w:val="00E434E5"/>
    <w:rsid w:val="00E44D87"/>
    <w:rsid w:val="00E45866"/>
    <w:rsid w:val="00E45DDA"/>
    <w:rsid w:val="00E4675C"/>
    <w:rsid w:val="00E467BF"/>
    <w:rsid w:val="00E5409A"/>
    <w:rsid w:val="00E54C41"/>
    <w:rsid w:val="00E60A8D"/>
    <w:rsid w:val="00E61AEC"/>
    <w:rsid w:val="00E63D14"/>
    <w:rsid w:val="00E63D23"/>
    <w:rsid w:val="00E64A11"/>
    <w:rsid w:val="00E65977"/>
    <w:rsid w:val="00E65D1E"/>
    <w:rsid w:val="00E66A4B"/>
    <w:rsid w:val="00E66DDE"/>
    <w:rsid w:val="00E7013C"/>
    <w:rsid w:val="00E72AA9"/>
    <w:rsid w:val="00E76492"/>
    <w:rsid w:val="00E7705E"/>
    <w:rsid w:val="00E87143"/>
    <w:rsid w:val="00E906A2"/>
    <w:rsid w:val="00E90F81"/>
    <w:rsid w:val="00E96B74"/>
    <w:rsid w:val="00E97D17"/>
    <w:rsid w:val="00EA0725"/>
    <w:rsid w:val="00EA116F"/>
    <w:rsid w:val="00EA2234"/>
    <w:rsid w:val="00EA2529"/>
    <w:rsid w:val="00EA6CD9"/>
    <w:rsid w:val="00EA73A0"/>
    <w:rsid w:val="00EB149F"/>
    <w:rsid w:val="00EB2037"/>
    <w:rsid w:val="00EB40D5"/>
    <w:rsid w:val="00EB4955"/>
    <w:rsid w:val="00EB55A7"/>
    <w:rsid w:val="00EC439D"/>
    <w:rsid w:val="00EC49A0"/>
    <w:rsid w:val="00EC591E"/>
    <w:rsid w:val="00ED326C"/>
    <w:rsid w:val="00ED340C"/>
    <w:rsid w:val="00ED6179"/>
    <w:rsid w:val="00ED707D"/>
    <w:rsid w:val="00ED7B8A"/>
    <w:rsid w:val="00EE082F"/>
    <w:rsid w:val="00EE47B3"/>
    <w:rsid w:val="00EE4E38"/>
    <w:rsid w:val="00EE521D"/>
    <w:rsid w:val="00EE6632"/>
    <w:rsid w:val="00EF1B03"/>
    <w:rsid w:val="00EF2BA4"/>
    <w:rsid w:val="00EF2DB4"/>
    <w:rsid w:val="00EF2E32"/>
    <w:rsid w:val="00EF3AA0"/>
    <w:rsid w:val="00EF4E32"/>
    <w:rsid w:val="00EF4F69"/>
    <w:rsid w:val="00EF635B"/>
    <w:rsid w:val="00EF7932"/>
    <w:rsid w:val="00F0034D"/>
    <w:rsid w:val="00F00C2C"/>
    <w:rsid w:val="00F03016"/>
    <w:rsid w:val="00F0680F"/>
    <w:rsid w:val="00F07097"/>
    <w:rsid w:val="00F07FCB"/>
    <w:rsid w:val="00F1162D"/>
    <w:rsid w:val="00F12536"/>
    <w:rsid w:val="00F14B21"/>
    <w:rsid w:val="00F14F09"/>
    <w:rsid w:val="00F16871"/>
    <w:rsid w:val="00F16BDC"/>
    <w:rsid w:val="00F243E5"/>
    <w:rsid w:val="00F256B8"/>
    <w:rsid w:val="00F263F0"/>
    <w:rsid w:val="00F31664"/>
    <w:rsid w:val="00F33891"/>
    <w:rsid w:val="00F35474"/>
    <w:rsid w:val="00F3573D"/>
    <w:rsid w:val="00F37A25"/>
    <w:rsid w:val="00F41AE7"/>
    <w:rsid w:val="00F41D94"/>
    <w:rsid w:val="00F42509"/>
    <w:rsid w:val="00F452A4"/>
    <w:rsid w:val="00F45C2B"/>
    <w:rsid w:val="00F45C47"/>
    <w:rsid w:val="00F549BC"/>
    <w:rsid w:val="00F555C1"/>
    <w:rsid w:val="00F62CF9"/>
    <w:rsid w:val="00F673B1"/>
    <w:rsid w:val="00F67FA3"/>
    <w:rsid w:val="00F7059A"/>
    <w:rsid w:val="00F720DA"/>
    <w:rsid w:val="00F72FC6"/>
    <w:rsid w:val="00F75A91"/>
    <w:rsid w:val="00F75BC2"/>
    <w:rsid w:val="00F76A30"/>
    <w:rsid w:val="00F81C81"/>
    <w:rsid w:val="00F822C5"/>
    <w:rsid w:val="00F82E34"/>
    <w:rsid w:val="00F83668"/>
    <w:rsid w:val="00F836F3"/>
    <w:rsid w:val="00F84D0C"/>
    <w:rsid w:val="00F851EF"/>
    <w:rsid w:val="00F86448"/>
    <w:rsid w:val="00F9224D"/>
    <w:rsid w:val="00F92490"/>
    <w:rsid w:val="00F930A6"/>
    <w:rsid w:val="00F945BF"/>
    <w:rsid w:val="00F97FBB"/>
    <w:rsid w:val="00FA0662"/>
    <w:rsid w:val="00FA10C8"/>
    <w:rsid w:val="00FA3F60"/>
    <w:rsid w:val="00FA4029"/>
    <w:rsid w:val="00FA4605"/>
    <w:rsid w:val="00FA4E7E"/>
    <w:rsid w:val="00FA5ADB"/>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D30A3"/>
    <w:rsid w:val="00FD32C6"/>
    <w:rsid w:val="00FD4CF8"/>
    <w:rsid w:val="00FD52A0"/>
    <w:rsid w:val="00FD583D"/>
    <w:rsid w:val="00FD6AD9"/>
    <w:rsid w:val="00FE19EE"/>
    <w:rsid w:val="00FE21C1"/>
    <w:rsid w:val="00FE2F05"/>
    <w:rsid w:val="00FE67E3"/>
    <w:rsid w:val="00FE6A61"/>
    <w:rsid w:val="00FE7768"/>
    <w:rsid w:val="00FF09C3"/>
    <w:rsid w:val="00FF0B8C"/>
    <w:rsid w:val="00FF16C4"/>
    <w:rsid w:val="00FF25E2"/>
    <w:rsid w:val="00FF2E49"/>
    <w:rsid w:val="00FF3963"/>
    <w:rsid w:val="00FF3AFF"/>
    <w:rsid w:val="00FF4206"/>
    <w:rsid w:val="00FF4667"/>
    <w:rsid w:val="00FF6BCA"/>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8ABFA"/>
  <w15:docId w15:val="{E81B39BF-1E7E-483A-A18F-46BE7843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66F"/>
    <w:pPr>
      <w:spacing w:after="160" w:line="259" w:lineRule="auto"/>
    </w:pPr>
    <w:rPr>
      <w:rFonts w:eastAsiaTheme="minorHAnsi" w:cstheme="minorBidi"/>
      <w:color w:val="auto"/>
      <w:sz w:val="22"/>
      <w:szCs w:val="22"/>
      <w:lang w:eastAsia="en-US"/>
    </w:rPr>
  </w:style>
  <w:style w:type="paragraph" w:styleId="Heading1">
    <w:name w:val="heading 1"/>
    <w:basedOn w:val="Normal"/>
    <w:next w:val="BodyText"/>
    <w:link w:val="Heading1Char"/>
    <w:qFormat/>
    <w:rsid w:val="00567E8F"/>
    <w:pPr>
      <w:keepNext/>
      <w:keepLines/>
      <w:spacing w:before="360" w:after="120" w:line="240" w:lineRule="auto"/>
      <w:outlineLvl w:val="0"/>
    </w:pPr>
    <w:rPr>
      <w:rFonts w:asciiTheme="majorHAnsi" w:eastAsiaTheme="minorEastAsia" w:hAnsiTheme="majorHAnsi" w:cstheme="majorBidi"/>
      <w:b/>
      <w:bCs/>
      <w:color w:val="00428B"/>
      <w:sz w:val="28"/>
      <w:szCs w:val="32"/>
    </w:rPr>
  </w:style>
  <w:style w:type="paragraph" w:styleId="Heading2">
    <w:name w:val="heading 2"/>
    <w:basedOn w:val="Normal"/>
    <w:next w:val="BodyText"/>
    <w:link w:val="Heading2Char"/>
    <w:qFormat/>
    <w:rsid w:val="003A2875"/>
    <w:pPr>
      <w:keepNext/>
      <w:keepLines/>
      <w:spacing w:before="240" w:after="12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qFormat/>
    <w:rsid w:val="00567E8F"/>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567E8F"/>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6"/>
      </w:numPr>
      <w:tabs>
        <w:tab w:val="right" w:pos="9639"/>
      </w:tabs>
      <w:spacing w:after="120"/>
      <w:outlineLvl w:val="7"/>
    </w:pPr>
    <w:rPr>
      <w:rFonts w:asciiTheme="majorHAnsi" w:eastAsiaTheme="majorEastAsia" w:hAnsiTheme="majorHAnsi" w:cstheme="majorBidi"/>
      <w:caps/>
      <w:color w:val="00428B" w:themeColor="text2"/>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567E8F"/>
    <w:pPr>
      <w:keepNext/>
      <w:keepLines/>
      <w:tabs>
        <w:tab w:val="left" w:pos="1134"/>
      </w:tabs>
      <w:spacing w:before="60" w:after="120" w:line="240" w:lineRule="auto"/>
    </w:pPr>
    <w:rPr>
      <w:bCs/>
      <w:color w:val="00428B" w:themeColor="text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B03007"/>
    <w:pPr>
      <w:tabs>
        <w:tab w:val="center" w:pos="4320"/>
        <w:tab w:val="right" w:pos="8640"/>
      </w:tabs>
      <w:spacing w:line="240" w:lineRule="auto"/>
      <w:jc w:val="right"/>
    </w:pPr>
    <w:rPr>
      <w:rFonts w:eastAsia="Cambria"/>
      <w:noProof/>
      <w:color w:val="00428B" w:themeColor="text2"/>
      <w:sz w:val="20"/>
    </w:rPr>
  </w:style>
  <w:style w:type="character" w:customStyle="1" w:styleId="FooterChar">
    <w:name w:val="Footer Char"/>
    <w:basedOn w:val="DefaultParagraphFont"/>
    <w:link w:val="Footer"/>
    <w:uiPriority w:val="99"/>
    <w:rsid w:val="00B03007"/>
    <w:rPr>
      <w:rFonts w:eastAsia="Cambria" w:cstheme="minorBidi"/>
      <w:noProof/>
      <w:color w:val="00428B" w:themeColor="text2"/>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567E8F"/>
    <w:rPr>
      <w:rFonts w:asciiTheme="majorHAnsi" w:eastAsiaTheme="minorEastAsia" w:hAnsiTheme="majorHAnsi" w:cstheme="majorBidi"/>
      <w:b/>
      <w:bCs/>
      <w:color w:val="00428B"/>
      <w:sz w:val="28"/>
      <w:szCs w:val="32"/>
    </w:rPr>
  </w:style>
  <w:style w:type="character" w:customStyle="1" w:styleId="Heading2Char">
    <w:name w:val="Heading 2 Char"/>
    <w:basedOn w:val="DefaultParagraphFont"/>
    <w:link w:val="Heading2"/>
    <w:rsid w:val="003A2875"/>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rsid w:val="00567E8F"/>
    <w:rPr>
      <w:rFonts w:asciiTheme="majorHAnsi" w:eastAsiaTheme="majorEastAsia" w:hAnsiTheme="majorHAnsi" w:cstheme="majorBidi"/>
      <w:b/>
      <w:bCs/>
    </w:rPr>
  </w:style>
  <w:style w:type="character" w:customStyle="1" w:styleId="Heading4Char">
    <w:name w:val="Heading 4 Char"/>
    <w:basedOn w:val="DefaultParagraphFont"/>
    <w:link w:val="Heading4"/>
    <w:rsid w:val="00567E8F"/>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sz w:val="22"/>
      <w:szCs w:val="22"/>
      <w:lang w:eastAsia="en-US"/>
    </w:rPr>
  </w:style>
  <w:style w:type="character" w:customStyle="1" w:styleId="Heading9Char">
    <w:name w:val="Heading 9 Char"/>
    <w:aliases w:val="Appendix Heading 1 Char"/>
    <w:basedOn w:val="DefaultParagraphFont"/>
    <w:link w:val="Heading9"/>
    <w:uiPriority w:val="3"/>
    <w:semiHidden/>
    <w:rsid w:val="001D6A54"/>
    <w:rPr>
      <w:rFonts w:eastAsiaTheme="minorHAnsi" w:cs="Arial"/>
      <w:b/>
      <w:color w:val="auto"/>
      <w:sz w:val="22"/>
      <w:szCs w:val="22"/>
      <w:lang w:eastAsia="en-US"/>
    </w:rPr>
  </w:style>
  <w:style w:type="paragraph" w:styleId="Header">
    <w:name w:val="header"/>
    <w:basedOn w:val="Normal"/>
    <w:link w:val="HeaderChar"/>
    <w:uiPriority w:val="99"/>
    <w:rsid w:val="00661F2B"/>
    <w:pPr>
      <w:tabs>
        <w:tab w:val="left" w:pos="7796"/>
      </w:tabs>
      <w:spacing w:after="480"/>
      <w:jc w:val="right"/>
    </w:pPr>
    <w:rPr>
      <w:color w:val="4D4F53"/>
      <w:sz w:val="20"/>
      <w:lang w:eastAsia="fr-CA"/>
    </w:rPr>
  </w:style>
  <w:style w:type="character" w:customStyle="1" w:styleId="HeaderChar">
    <w:name w:val="Header Char"/>
    <w:basedOn w:val="DefaultParagraphFont"/>
    <w:link w:val="Header"/>
    <w:uiPriority w:val="99"/>
    <w:rsid w:val="00661F2B"/>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461BBF"/>
    <w:pPr>
      <w:numPr>
        <w:numId w:val="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461BBF"/>
    <w:pPr>
      <w:numPr>
        <w:ilvl w:val="1"/>
      </w:numPr>
      <w:spacing w:before="100" w:beforeAutospacing="1"/>
    </w:pPr>
  </w:style>
  <w:style w:type="paragraph" w:styleId="ListBullet3">
    <w:name w:val="List Bullet 3"/>
    <w:basedOn w:val="ListBullet2"/>
    <w:qFormat/>
    <w:rsid w:val="00350E22"/>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CA7636"/>
    <w:pPr>
      <w:spacing w:before="120" w:after="120"/>
      <w:ind w:left="567"/>
    </w:pPr>
  </w:style>
  <w:style w:type="paragraph" w:styleId="ListContinue2">
    <w:name w:val="List Continue 2"/>
    <w:basedOn w:val="Normal"/>
    <w:rsid w:val="00CA7636"/>
    <w:pPr>
      <w:spacing w:before="120" w:after="120"/>
      <w:ind w:left="1134"/>
    </w:pPr>
  </w:style>
  <w:style w:type="paragraph" w:styleId="ListContinue3">
    <w:name w:val="List Continue 3"/>
    <w:basedOn w:val="Normal"/>
    <w:rsid w:val="00CA7636"/>
    <w:pPr>
      <w:spacing w:before="120" w:after="12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65738D"/>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ListNumber3"/>
    <w:unhideWhenUsed/>
    <w:rsid w:val="0065738D"/>
    <w:pPr>
      <w:numPr>
        <w:ilvl w:val="3"/>
      </w:numPr>
      <w:contextualSpacing/>
    </w:pPr>
  </w:style>
  <w:style w:type="paragraph" w:styleId="ListNumber5">
    <w:name w:val="List Number 5"/>
    <w:basedOn w:val="ListNumber4"/>
    <w:unhideWhenUsed/>
    <w:rsid w:val="0065738D"/>
    <w:pPr>
      <w:numPr>
        <w:ilvl w:val="4"/>
      </w:numPr>
      <w:contextualSpacing w:val="0"/>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style>
  <w:style w:type="paragraph" w:customStyle="1" w:styleId="Notes">
    <w:name w:val="Notes"/>
    <w:basedOn w:val="Normal"/>
    <w:next w:val="BodyText12ptAbove"/>
    <w:qFormat/>
    <w:rsid w:val="0017585B"/>
    <w:pPr>
      <w:spacing w:before="60" w:after="120" w:line="240" w:lineRule="atLeast"/>
      <w:contextualSpacing/>
    </w:pPr>
    <w:rPr>
      <w:rFonts w:cs="Arial"/>
      <w:sz w:val="20"/>
    </w:rPr>
  </w:style>
  <w:style w:type="paragraph" w:customStyle="1" w:styleId="NotesNumbered">
    <w:name w:val="Notes Numbered"/>
    <w:basedOn w:val="Normal"/>
    <w:qFormat/>
    <w:rsid w:val="007A0760"/>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7A0760"/>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126F98"/>
    <w:rPr>
      <w:b/>
      <w:color w:val="00428B" w:themeColor="text2"/>
    </w:rPr>
  </w:style>
  <w:style w:type="character" w:customStyle="1" w:styleId="SubtitleChar">
    <w:name w:val="Subtitle Char"/>
    <w:basedOn w:val="DefaultParagraphFont"/>
    <w:link w:val="Subtitle"/>
    <w:uiPriority w:val="1"/>
    <w:rsid w:val="00126F98"/>
    <w:rPr>
      <w:b/>
      <w:color w:val="00428B" w:themeColor="text2"/>
    </w:rPr>
  </w:style>
  <w:style w:type="table" w:styleId="TableGrid">
    <w:name w:val="Table Grid"/>
    <w:basedOn w:val="TableNormal"/>
    <w:uiPriority w:val="3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hAnsiTheme="majorHAnsi"/>
      <w:b/>
      <w:noProof/>
      <w:lang w:val="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noProof/>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noProof/>
      <w:szCs w:val="18"/>
      <w:lang w:eastAsia="fr-CA"/>
    </w:rPr>
  </w:style>
  <w:style w:type="paragraph" w:styleId="TOC5">
    <w:name w:val="toc 5"/>
    <w:basedOn w:val="Normal"/>
    <w:next w:val="Normal"/>
    <w:autoRedefine/>
    <w:uiPriority w:val="39"/>
    <w:semiHidden/>
    <w:rsid w:val="005A16A6"/>
    <w:pPr>
      <w:numPr>
        <w:ilvl w:val="4"/>
      </w:numPr>
      <w:ind w:left="85"/>
    </w:pPr>
  </w:style>
  <w:style w:type="paragraph" w:styleId="TOC4">
    <w:name w:val="toc 4"/>
    <w:basedOn w:val="Normal"/>
    <w:next w:val="Normal"/>
    <w:autoRedefine/>
    <w:uiPriority w:val="39"/>
    <w:semiHidden/>
    <w:rsid w:val="005A16A6"/>
    <w:pPr>
      <w:numPr>
        <w:ilvl w:val="3"/>
      </w:numPr>
      <w:ind w:left="85"/>
    </w:p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CA7636"/>
    <w:pPr>
      <w:numPr>
        <w:numId w:val="10"/>
      </w:numPr>
    </w:pPr>
  </w:style>
  <w:style w:type="paragraph" w:customStyle="1" w:styleId="HighlightBoxNumbering">
    <w:name w:val="Highlight Box Numbering"/>
    <w:basedOn w:val="HighlightBoxText"/>
    <w:qFormat/>
    <w:rsid w:val="00CA7636"/>
    <w:pPr>
      <w:numPr>
        <w:numId w:val="9"/>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661F2B"/>
    <w:pPr>
      <w:pBdr>
        <w:bottom w:val="single" w:sz="8" w:space="2" w:color="00428B" w:themeColor="text2"/>
      </w:pBdr>
      <w:spacing w:before="120" w:after="290" w:line="320" w:lineRule="exact"/>
    </w:p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styleId="ListParagraph">
    <w:name w:val="List Paragraph"/>
    <w:basedOn w:val="Normal"/>
    <w:uiPriority w:val="34"/>
    <w:qFormat/>
    <w:rsid w:val="00D22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3857">
      <w:bodyDiv w:val="1"/>
      <w:marLeft w:val="0"/>
      <w:marRight w:val="0"/>
      <w:marTop w:val="0"/>
      <w:marBottom w:val="0"/>
      <w:divBdr>
        <w:top w:val="none" w:sz="0" w:space="0" w:color="auto"/>
        <w:left w:val="none" w:sz="0" w:space="0" w:color="auto"/>
        <w:bottom w:val="none" w:sz="0" w:space="0" w:color="auto"/>
        <w:right w:val="none" w:sz="0" w:space="0" w:color="auto"/>
      </w:divBdr>
      <w:divsChild>
        <w:div w:id="16196766">
          <w:marLeft w:val="187"/>
          <w:marRight w:val="0"/>
          <w:marTop w:val="0"/>
          <w:marBottom w:val="0"/>
          <w:divBdr>
            <w:top w:val="none" w:sz="0" w:space="0" w:color="auto"/>
            <w:left w:val="none" w:sz="0" w:space="0" w:color="auto"/>
            <w:bottom w:val="none" w:sz="0" w:space="0" w:color="auto"/>
            <w:right w:val="none" w:sz="0" w:space="0" w:color="auto"/>
          </w:divBdr>
        </w:div>
        <w:div w:id="87314735">
          <w:marLeft w:val="187"/>
          <w:marRight w:val="0"/>
          <w:marTop w:val="0"/>
          <w:marBottom w:val="0"/>
          <w:divBdr>
            <w:top w:val="none" w:sz="0" w:space="0" w:color="auto"/>
            <w:left w:val="none" w:sz="0" w:space="0" w:color="auto"/>
            <w:bottom w:val="none" w:sz="0" w:space="0" w:color="auto"/>
            <w:right w:val="none" w:sz="0" w:space="0" w:color="auto"/>
          </w:divBdr>
        </w:div>
        <w:div w:id="88938306">
          <w:marLeft w:val="187"/>
          <w:marRight w:val="0"/>
          <w:marTop w:val="0"/>
          <w:marBottom w:val="0"/>
          <w:divBdr>
            <w:top w:val="none" w:sz="0" w:space="0" w:color="auto"/>
            <w:left w:val="none" w:sz="0" w:space="0" w:color="auto"/>
            <w:bottom w:val="none" w:sz="0" w:space="0" w:color="auto"/>
            <w:right w:val="none" w:sz="0" w:space="0" w:color="auto"/>
          </w:divBdr>
        </w:div>
        <w:div w:id="132065655">
          <w:marLeft w:val="187"/>
          <w:marRight w:val="0"/>
          <w:marTop w:val="0"/>
          <w:marBottom w:val="0"/>
          <w:divBdr>
            <w:top w:val="none" w:sz="0" w:space="0" w:color="auto"/>
            <w:left w:val="none" w:sz="0" w:space="0" w:color="auto"/>
            <w:bottom w:val="none" w:sz="0" w:space="0" w:color="auto"/>
            <w:right w:val="none" w:sz="0" w:space="0" w:color="auto"/>
          </w:divBdr>
        </w:div>
        <w:div w:id="482891469">
          <w:marLeft w:val="187"/>
          <w:marRight w:val="0"/>
          <w:marTop w:val="0"/>
          <w:marBottom w:val="0"/>
          <w:divBdr>
            <w:top w:val="none" w:sz="0" w:space="0" w:color="auto"/>
            <w:left w:val="none" w:sz="0" w:space="0" w:color="auto"/>
            <w:bottom w:val="none" w:sz="0" w:space="0" w:color="auto"/>
            <w:right w:val="none" w:sz="0" w:space="0" w:color="auto"/>
          </w:divBdr>
        </w:div>
        <w:div w:id="1155489559">
          <w:marLeft w:val="187"/>
          <w:marRight w:val="0"/>
          <w:marTop w:val="0"/>
          <w:marBottom w:val="0"/>
          <w:divBdr>
            <w:top w:val="none" w:sz="0" w:space="0" w:color="auto"/>
            <w:left w:val="none" w:sz="0" w:space="0" w:color="auto"/>
            <w:bottom w:val="none" w:sz="0" w:space="0" w:color="auto"/>
            <w:right w:val="none" w:sz="0" w:space="0" w:color="auto"/>
          </w:divBdr>
        </w:div>
        <w:div w:id="1215191424">
          <w:marLeft w:val="187"/>
          <w:marRight w:val="0"/>
          <w:marTop w:val="0"/>
          <w:marBottom w:val="0"/>
          <w:divBdr>
            <w:top w:val="none" w:sz="0" w:space="0" w:color="auto"/>
            <w:left w:val="none" w:sz="0" w:space="0" w:color="auto"/>
            <w:bottom w:val="none" w:sz="0" w:space="0" w:color="auto"/>
            <w:right w:val="none" w:sz="0" w:space="0" w:color="auto"/>
          </w:divBdr>
        </w:div>
        <w:div w:id="1317345154">
          <w:marLeft w:val="187"/>
          <w:marRight w:val="0"/>
          <w:marTop w:val="0"/>
          <w:marBottom w:val="0"/>
          <w:divBdr>
            <w:top w:val="none" w:sz="0" w:space="0" w:color="auto"/>
            <w:left w:val="none" w:sz="0" w:space="0" w:color="auto"/>
            <w:bottom w:val="none" w:sz="0" w:space="0" w:color="auto"/>
            <w:right w:val="none" w:sz="0" w:space="0" w:color="auto"/>
          </w:divBdr>
        </w:div>
        <w:div w:id="1787769379">
          <w:marLeft w:val="187"/>
          <w:marRight w:val="0"/>
          <w:marTop w:val="0"/>
          <w:marBottom w:val="0"/>
          <w:divBdr>
            <w:top w:val="none" w:sz="0" w:space="0" w:color="auto"/>
            <w:left w:val="none" w:sz="0" w:space="0" w:color="auto"/>
            <w:bottom w:val="none" w:sz="0" w:space="0" w:color="auto"/>
            <w:right w:val="none" w:sz="0" w:space="0" w:color="auto"/>
          </w:divBdr>
        </w:div>
        <w:div w:id="2101018912">
          <w:marLeft w:val="187"/>
          <w:marRight w:val="0"/>
          <w:marTop w:val="0"/>
          <w:marBottom w:val="0"/>
          <w:divBdr>
            <w:top w:val="none" w:sz="0" w:space="0" w:color="auto"/>
            <w:left w:val="none" w:sz="0" w:space="0" w:color="auto"/>
            <w:bottom w:val="none" w:sz="0" w:space="0" w:color="auto"/>
            <w:right w:val="none" w:sz="0" w:space="0" w:color="auto"/>
          </w:divBdr>
        </w:div>
        <w:div w:id="2105953569">
          <w:marLeft w:val="187"/>
          <w:marRight w:val="0"/>
          <w:marTop w:val="0"/>
          <w:marBottom w:val="0"/>
          <w:divBdr>
            <w:top w:val="none" w:sz="0" w:space="0" w:color="auto"/>
            <w:left w:val="none" w:sz="0" w:space="0" w:color="auto"/>
            <w:bottom w:val="none" w:sz="0" w:space="0" w:color="auto"/>
            <w:right w:val="none" w:sz="0" w:space="0" w:color="auto"/>
          </w:divBdr>
        </w:div>
      </w:divsChild>
    </w:div>
    <w:div w:id="1234971315">
      <w:bodyDiv w:val="1"/>
      <w:marLeft w:val="0"/>
      <w:marRight w:val="0"/>
      <w:marTop w:val="0"/>
      <w:marBottom w:val="0"/>
      <w:divBdr>
        <w:top w:val="none" w:sz="0" w:space="0" w:color="auto"/>
        <w:left w:val="none" w:sz="0" w:space="0" w:color="auto"/>
        <w:bottom w:val="none" w:sz="0" w:space="0" w:color="auto"/>
        <w:right w:val="none" w:sz="0" w:space="0" w:color="auto"/>
      </w:divBdr>
    </w:div>
    <w:div w:id="1399092053">
      <w:bodyDiv w:val="1"/>
      <w:marLeft w:val="0"/>
      <w:marRight w:val="0"/>
      <w:marTop w:val="0"/>
      <w:marBottom w:val="0"/>
      <w:divBdr>
        <w:top w:val="none" w:sz="0" w:space="0" w:color="auto"/>
        <w:left w:val="none" w:sz="0" w:space="0" w:color="auto"/>
        <w:bottom w:val="none" w:sz="0" w:space="0" w:color="auto"/>
        <w:right w:val="none" w:sz="0" w:space="0" w:color="auto"/>
      </w:divBdr>
      <w:divsChild>
        <w:div w:id="1653832845">
          <w:marLeft w:val="274"/>
          <w:marRight w:val="0"/>
          <w:marTop w:val="0"/>
          <w:marBottom w:val="0"/>
          <w:divBdr>
            <w:top w:val="none" w:sz="0" w:space="0" w:color="auto"/>
            <w:left w:val="none" w:sz="0" w:space="0" w:color="auto"/>
            <w:bottom w:val="none" w:sz="0" w:space="0" w:color="auto"/>
            <w:right w:val="none" w:sz="0" w:space="0" w:color="auto"/>
          </w:divBdr>
        </w:div>
      </w:divsChild>
    </w:div>
    <w:div w:id="1488322959">
      <w:bodyDiv w:val="1"/>
      <w:marLeft w:val="0"/>
      <w:marRight w:val="0"/>
      <w:marTop w:val="0"/>
      <w:marBottom w:val="0"/>
      <w:divBdr>
        <w:top w:val="none" w:sz="0" w:space="0" w:color="auto"/>
        <w:left w:val="none" w:sz="0" w:space="0" w:color="auto"/>
        <w:bottom w:val="none" w:sz="0" w:space="0" w:color="auto"/>
        <w:right w:val="none" w:sz="0" w:space="0" w:color="auto"/>
      </w:divBdr>
      <w:divsChild>
        <w:div w:id="1685395150">
          <w:marLeft w:val="274"/>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Blank.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B90A6-BEC5-4B2D-BC59-698186FA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Blank.dotx</Template>
  <TotalTime>1</TotalTime>
  <Pages>2</Pages>
  <Words>738</Words>
  <Characters>5120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Valle</dc:creator>
  <cp:keywords/>
  <dc:description/>
  <cp:lastModifiedBy>Liz Clampit</cp:lastModifiedBy>
  <cp:revision>2</cp:revision>
  <cp:lastPrinted>2013-08-27T02:18:00Z</cp:lastPrinted>
  <dcterms:created xsi:type="dcterms:W3CDTF">2026-03-04T23:06:00Z</dcterms:created>
  <dcterms:modified xsi:type="dcterms:W3CDTF">2026-03-04T23:06:00Z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MSIP_Label_8d1a0ea4-6344-45fe-bd17-9bfc2ab6afb4_Enabled">
    <vt:lpwstr>true</vt:lpwstr>
  </property>
  <property fmtid="{D5CDD505-2E9C-101B-9397-08002B2CF9AE}" pid="5" name="MSIP_Label_8d1a0ea4-6344-45fe-bd17-9bfc2ab6afb4_SetDate">
    <vt:lpwstr>2024-05-01T04:58:40Z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5cfb1d3b-3b62-4d3c-b089-db64279a9adc</vt:lpwstr>
  </property>
  <property fmtid="{D5CDD505-2E9C-101B-9397-08002B2CF9AE}" pid="10" name="MSIP_Label_8d1a0ea4-6344-45fe-bd17-9bfc2ab6afb4_ContentBits">
    <vt:lpwstr>1</vt:lpwstr>
  </property>
</Properties>
</file>